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8F3A58" w:rsidRPr="00420E12" w:rsidTr="008F3A58">
        <w:trPr>
          <w:trHeight w:val="295"/>
        </w:trPr>
        <w:tc>
          <w:tcPr>
            <w:tcW w:w="5079" w:type="dxa"/>
            <w:gridSpan w:val="3"/>
          </w:tcPr>
          <w:p w:rsidR="008F3A58" w:rsidRPr="00420E12" w:rsidRDefault="008F3A58" w:rsidP="008F3A58">
            <w:pPr>
              <w:jc w:val="both"/>
              <w:rPr>
                <w:rFonts w:ascii="Arial" w:hAnsi="Arial" w:hint="cs"/>
                <w:b/>
                <w:bCs/>
                <w:sz w:val="26"/>
                <w:szCs w:val="26"/>
                <w:rtl/>
              </w:rPr>
            </w:pPr>
            <w:bookmarkStart w:id="0" w:name="_GoBack"/>
            <w:bookmarkEnd w:id="0"/>
          </w:p>
          <w:p w:rsidR="008F3A58" w:rsidRPr="00420E12" w:rsidRDefault="008F3A58" w:rsidP="008F3A58">
            <w:pPr>
              <w:ind w:firstLine="720"/>
              <w:rPr>
                <w:rFonts w:ascii="Arial" w:hAnsi="Arial"/>
                <w:sz w:val="26"/>
                <w:szCs w:val="26"/>
                <w:rtl/>
              </w:rPr>
            </w:pPr>
          </w:p>
        </w:tc>
        <w:tc>
          <w:tcPr>
            <w:tcW w:w="3741" w:type="dxa"/>
          </w:tcPr>
          <w:p w:rsidR="00F62F92" w:rsidRDefault="00F62F92">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F3A58" w:rsidRPr="00420E12" w:rsidTr="008F3A58">
        <w:trPr>
          <w:trHeight w:val="295"/>
        </w:trPr>
        <w:tc>
          <w:tcPr>
            <w:tcW w:w="635" w:type="dxa"/>
          </w:tcPr>
          <w:p w:rsidR="008F3A58" w:rsidRPr="00420E12" w:rsidRDefault="008F3A58" w:rsidP="008F3A58">
            <w:pPr>
              <w:jc w:val="both"/>
              <w:rPr>
                <w:rFonts w:ascii="Arial" w:hAnsi="Arial"/>
                <w:b/>
                <w:bCs/>
                <w:sz w:val="26"/>
                <w:szCs w:val="26"/>
              </w:rPr>
            </w:pPr>
            <w:r w:rsidRPr="00420E12">
              <w:rPr>
                <w:rFonts w:ascii="Arial" w:hAnsi="Arial" w:hint="cs"/>
                <w:b/>
                <w:bCs/>
                <w:sz w:val="26"/>
                <w:szCs w:val="26"/>
                <w:rtl/>
              </w:rPr>
              <w:t>ל</w:t>
            </w:r>
            <w:r w:rsidRPr="00420E12">
              <w:rPr>
                <w:rFonts w:ascii="Arial" w:hAnsi="Arial"/>
                <w:b/>
                <w:bCs/>
                <w:sz w:val="26"/>
                <w:szCs w:val="26"/>
                <w:rtl/>
              </w:rPr>
              <w:t xml:space="preserve">פני </w:t>
            </w:r>
          </w:p>
        </w:tc>
        <w:tc>
          <w:tcPr>
            <w:tcW w:w="8185" w:type="dxa"/>
            <w:gridSpan w:val="3"/>
          </w:tcPr>
          <w:p w:rsidR="008F3A58" w:rsidRPr="00420E12" w:rsidRDefault="008F3A58" w:rsidP="008F3A58">
            <w:pPr>
              <w:rPr>
                <w:rFonts w:ascii="Arial" w:hAnsi="Arial"/>
                <w:b/>
                <w:bCs/>
                <w:sz w:val="26"/>
                <w:szCs w:val="26"/>
                <w:rtl/>
              </w:rPr>
            </w:pPr>
            <w:r w:rsidRPr="00420E12">
              <w:rPr>
                <w:rFonts w:ascii="Arial" w:hAnsi="Arial" w:hint="cs"/>
                <w:b/>
                <w:bCs/>
                <w:sz w:val="26"/>
                <w:szCs w:val="26"/>
                <w:rtl/>
              </w:rPr>
              <w:t xml:space="preserve">כב' </w:t>
            </w:r>
            <w:r w:rsidRPr="00420E12">
              <w:rPr>
                <w:rFonts w:ascii="Arial" w:hAnsi="Arial"/>
                <w:b/>
                <w:bCs/>
                <w:sz w:val="26"/>
                <w:szCs w:val="26"/>
                <w:rtl/>
              </w:rPr>
              <w:t>ה</w:t>
            </w:r>
            <w:sdt>
              <w:sdtPr>
                <w:rPr>
                  <w:sz w:val="26"/>
                  <w:szCs w:val="26"/>
                  <w:rtl/>
                </w:rPr>
                <w:alias w:val="1574"/>
                <w:tag w:val="1574"/>
                <w:id w:val="1264808568"/>
                <w:text w:multiLine="1"/>
              </w:sdtPr>
              <w:sdtEndPr/>
              <w:sdtContent>
                <w:r>
                  <w:rPr>
                    <w:rFonts w:ascii="Arial" w:hAnsi="Arial"/>
                    <w:b/>
                    <w:bCs/>
                    <w:sz w:val="26"/>
                    <w:szCs w:val="26"/>
                    <w:rtl/>
                  </w:rPr>
                  <w:t>שופטת</w:t>
                </w:r>
              </w:sdtContent>
            </w:sdt>
            <w:r w:rsidRPr="00420E12">
              <w:rPr>
                <w:rFonts w:ascii="Arial" w:hAnsi="Arial"/>
                <w:b/>
                <w:bCs/>
                <w:sz w:val="26"/>
                <w:szCs w:val="26"/>
                <w:rtl/>
              </w:rPr>
              <w:t xml:space="preserve">  </w:t>
            </w:r>
            <w:sdt>
              <w:sdtPr>
                <w:rPr>
                  <w:sz w:val="26"/>
                  <w:szCs w:val="26"/>
                  <w:rtl/>
                </w:rPr>
                <w:alias w:val="1573"/>
                <w:tag w:val="1573"/>
                <w:id w:val="-1044745739"/>
                <w:text w:multiLine="1"/>
              </w:sdtPr>
              <w:sdtEndPr/>
              <w:sdtContent>
                <w:r>
                  <w:rPr>
                    <w:rFonts w:ascii="Arial" w:hAnsi="Arial"/>
                    <w:b/>
                    <w:bCs/>
                    <w:sz w:val="26"/>
                    <w:szCs w:val="26"/>
                    <w:rtl/>
                  </w:rPr>
                  <w:t>ירדנה סרוסי</w:t>
                </w:r>
                <w:r w:rsidR="00C64578">
                  <w:rPr>
                    <w:sz w:val="26"/>
                    <w:szCs w:val="26"/>
                    <w:rtl/>
                  </w:rPr>
                  <w:br/>
                </w:r>
              </w:sdtContent>
            </w:sdt>
          </w:p>
          <w:p w:rsidR="008F3A58" w:rsidRPr="00420E12" w:rsidRDefault="008F3A58" w:rsidP="008F3A58">
            <w:pPr>
              <w:rPr>
                <w:rFonts w:ascii="Arial" w:hAnsi="Arial" w:cs="FrankRuehl"/>
                <w:sz w:val="26"/>
                <w:szCs w:val="26"/>
                <w:highlight w:val="yellow"/>
              </w:rPr>
            </w:pPr>
          </w:p>
        </w:tc>
      </w:tr>
      <w:tr w:rsidR="008F3A58" w:rsidRPr="00420E12" w:rsidTr="008F3A58">
        <w:tc>
          <w:tcPr>
            <w:tcW w:w="3281" w:type="dxa"/>
            <w:gridSpan w:val="2"/>
          </w:tcPr>
          <w:sdt>
            <w:sdtPr>
              <w:rPr>
                <w:b/>
                <w:bCs/>
                <w:sz w:val="26"/>
                <w:szCs w:val="26"/>
                <w:rtl/>
              </w:rPr>
              <w:alias w:val="1180"/>
              <w:tag w:val="1180"/>
              <w:id w:val="1169446867"/>
              <w:text w:multiLine="1"/>
            </w:sdtPr>
            <w:sdtEndPr/>
            <w:sdtContent>
              <w:p w:rsidR="00F62F92" w:rsidRDefault="004C0005" w:rsidP="007C148B">
                <w:pPr>
                  <w:rPr>
                    <w:rFonts w:ascii="Arial" w:hAnsi="Arial"/>
                    <w:b/>
                    <w:bCs/>
                    <w:sz w:val="26"/>
                    <w:szCs w:val="26"/>
                  </w:rPr>
                </w:pPr>
                <w:r w:rsidRPr="007C148B">
                  <w:rPr>
                    <w:rFonts w:ascii="Arial" w:hAnsi="Arial"/>
                    <w:b/>
                    <w:bCs/>
                    <w:sz w:val="26"/>
                    <w:szCs w:val="26"/>
                    <w:rtl/>
                  </w:rPr>
                  <w:t>מערער</w:t>
                </w:r>
                <w:r w:rsidR="007C148B" w:rsidRPr="007C148B">
                  <w:rPr>
                    <w:rFonts w:hint="cs"/>
                    <w:b/>
                    <w:bCs/>
                    <w:sz w:val="26"/>
                    <w:szCs w:val="26"/>
                    <w:rtl/>
                  </w:rPr>
                  <w:t>ת</w:t>
                </w:r>
              </w:p>
            </w:sdtContent>
          </w:sdt>
        </w:tc>
        <w:tc>
          <w:tcPr>
            <w:tcW w:w="5539" w:type="dxa"/>
            <w:gridSpan w:val="2"/>
          </w:tcPr>
          <w:p w:rsidR="008F3A58" w:rsidRPr="00420E12" w:rsidRDefault="008F3A58" w:rsidP="008F3A58">
            <w:pPr>
              <w:rPr>
                <w:rFonts w:ascii="Arial" w:hAnsi="Arial"/>
                <w:b/>
                <w:bCs/>
                <w:sz w:val="26"/>
                <w:szCs w:val="26"/>
                <w:rtl/>
              </w:rPr>
            </w:pPr>
          </w:p>
          <w:p w:rsidR="008F3A58" w:rsidRPr="007C148B" w:rsidRDefault="002038F1" w:rsidP="007C148B">
            <w:pPr>
              <w:rPr>
                <w:rFonts w:ascii="Arial" w:hAnsi="Arial"/>
                <w:b/>
                <w:bCs/>
                <w:sz w:val="26"/>
                <w:szCs w:val="26"/>
                <w:rtl/>
              </w:rPr>
            </w:pPr>
            <w:sdt>
              <w:sdtPr>
                <w:rPr>
                  <w:b/>
                  <w:bCs/>
                  <w:sz w:val="26"/>
                  <w:szCs w:val="26"/>
                  <w:rtl/>
                </w:rPr>
                <w:alias w:val="1478"/>
                <w:tag w:val="1478"/>
                <w:id w:val="2124652378"/>
                <w:text w:multiLine="1"/>
              </w:sdtPr>
              <w:sdtEndPr/>
              <w:sdtContent>
                <w:r w:rsidR="00E67EFF" w:rsidRPr="007C148B">
                  <w:rPr>
                    <w:b/>
                    <w:bCs/>
                    <w:sz w:val="26"/>
                    <w:szCs w:val="26"/>
                    <w:rtl/>
                  </w:rPr>
                  <w:t>ברגרואין רזידנטיאל לימיטד</w:t>
                </w:r>
                <w:r w:rsidR="007C148B" w:rsidRPr="007C148B">
                  <w:rPr>
                    <w:b/>
                    <w:bCs/>
                    <w:sz w:val="26"/>
                    <w:szCs w:val="26"/>
                    <w:rtl/>
                  </w:rPr>
                  <w:br/>
                </w:r>
                <w:r w:rsidR="007C148B" w:rsidRPr="007C148B">
                  <w:rPr>
                    <w:rFonts w:hint="cs"/>
                    <w:b/>
                    <w:bCs/>
                    <w:sz w:val="26"/>
                    <w:szCs w:val="26"/>
                    <w:rtl/>
                  </w:rPr>
                  <w:t xml:space="preserve">ע"י ב"כ עו"ד יובל כהן </w:t>
                </w:r>
              </w:sdtContent>
            </w:sdt>
            <w:r w:rsidR="008F3A58" w:rsidRPr="007C148B">
              <w:rPr>
                <w:rFonts w:ascii="Arial" w:hAnsi="Arial"/>
                <w:b/>
                <w:bCs/>
                <w:sz w:val="26"/>
                <w:szCs w:val="26"/>
                <w:rtl/>
              </w:rPr>
              <w:t xml:space="preserve">    </w:t>
            </w:r>
          </w:p>
          <w:p w:rsidR="008F3A58" w:rsidRPr="00420E12" w:rsidRDefault="008F3A58" w:rsidP="008F3A58">
            <w:pPr>
              <w:rPr>
                <w:rFonts w:ascii="Arial" w:hAnsi="Arial"/>
                <w:b/>
                <w:bCs/>
                <w:sz w:val="26"/>
                <w:szCs w:val="26"/>
              </w:rPr>
            </w:pPr>
          </w:p>
        </w:tc>
      </w:tr>
      <w:tr w:rsidR="008F3A58" w:rsidRPr="00420E12" w:rsidTr="008F3A58">
        <w:tc>
          <w:tcPr>
            <w:tcW w:w="8820" w:type="dxa"/>
            <w:gridSpan w:val="4"/>
          </w:tcPr>
          <w:p w:rsidR="008F3A58" w:rsidRPr="007C148B" w:rsidRDefault="008F3A58" w:rsidP="008F3A58">
            <w:pPr>
              <w:rPr>
                <w:rFonts w:ascii="Arial" w:hAnsi="Arial"/>
                <w:b/>
                <w:bCs/>
                <w:sz w:val="26"/>
                <w:szCs w:val="26"/>
                <w:rtl/>
              </w:rPr>
            </w:pPr>
          </w:p>
          <w:p w:rsidR="008F3A58" w:rsidRPr="00420E12" w:rsidRDefault="008F3A58" w:rsidP="008F3A58">
            <w:pPr>
              <w:jc w:val="center"/>
              <w:rPr>
                <w:rFonts w:ascii="Arial" w:hAnsi="Arial"/>
                <w:b/>
                <w:bCs/>
                <w:sz w:val="26"/>
                <w:szCs w:val="26"/>
                <w:rtl/>
              </w:rPr>
            </w:pPr>
            <w:r w:rsidRPr="00420E12">
              <w:rPr>
                <w:rFonts w:ascii="Arial" w:hAnsi="Arial"/>
                <w:b/>
                <w:bCs/>
                <w:sz w:val="26"/>
                <w:szCs w:val="26"/>
                <w:rtl/>
              </w:rPr>
              <w:t>נגד</w:t>
            </w:r>
          </w:p>
          <w:p w:rsidR="008F3A58" w:rsidRPr="00420E12" w:rsidRDefault="008F3A58" w:rsidP="008F3A58">
            <w:pPr>
              <w:rPr>
                <w:rFonts w:ascii="Arial" w:hAnsi="Arial"/>
                <w:b/>
                <w:bCs/>
                <w:sz w:val="26"/>
                <w:szCs w:val="26"/>
              </w:rPr>
            </w:pPr>
          </w:p>
        </w:tc>
      </w:tr>
      <w:tr w:rsidR="008F3A58" w:rsidRPr="00420E12" w:rsidTr="008F3A58">
        <w:sdt>
          <w:sdtPr>
            <w:rPr>
              <w:sz w:val="26"/>
              <w:szCs w:val="26"/>
              <w:rtl/>
            </w:rPr>
            <w:alias w:val="1184"/>
            <w:tag w:val="1184"/>
            <w:id w:val="469171988"/>
            <w:text/>
          </w:sdtPr>
          <w:sdtEndPr/>
          <w:sdtContent>
            <w:tc>
              <w:tcPr>
                <w:tcW w:w="3281" w:type="dxa"/>
                <w:gridSpan w:val="2"/>
              </w:tcPr>
              <w:p w:rsidR="008F3A58" w:rsidRPr="00420E12" w:rsidRDefault="008F3A58" w:rsidP="007C148B">
                <w:pPr>
                  <w:rPr>
                    <w:rFonts w:ascii="Arial" w:hAnsi="Arial"/>
                    <w:b/>
                    <w:bCs/>
                    <w:sz w:val="26"/>
                    <w:szCs w:val="26"/>
                  </w:rPr>
                </w:pPr>
                <w:r w:rsidRPr="00420E12">
                  <w:rPr>
                    <w:rFonts w:ascii="Arial" w:hAnsi="Arial"/>
                    <w:b/>
                    <w:bCs/>
                    <w:sz w:val="26"/>
                    <w:szCs w:val="26"/>
                    <w:rtl/>
                  </w:rPr>
                  <w:t>משיב</w:t>
                </w:r>
              </w:p>
            </w:tc>
          </w:sdtContent>
        </w:sdt>
        <w:tc>
          <w:tcPr>
            <w:tcW w:w="5539" w:type="dxa"/>
            <w:gridSpan w:val="2"/>
          </w:tcPr>
          <w:p w:rsidR="007C148B" w:rsidRDefault="007C148B" w:rsidP="007C148B">
            <w:pPr>
              <w:rPr>
                <w:rFonts w:ascii="Arial" w:hAnsi="Arial"/>
                <w:b/>
                <w:bCs/>
                <w:sz w:val="26"/>
                <w:szCs w:val="26"/>
                <w:rtl/>
              </w:rPr>
            </w:pPr>
          </w:p>
          <w:p w:rsidR="008F3A58" w:rsidRPr="007C148B" w:rsidRDefault="002038F1" w:rsidP="007C148B">
            <w:pPr>
              <w:rPr>
                <w:rFonts w:ascii="Arial" w:hAnsi="Arial"/>
                <w:b/>
                <w:bCs/>
                <w:sz w:val="26"/>
                <w:szCs w:val="26"/>
                <w:rtl/>
              </w:rPr>
            </w:pPr>
            <w:sdt>
              <w:sdtPr>
                <w:rPr>
                  <w:b/>
                  <w:bCs/>
                  <w:sz w:val="26"/>
                  <w:szCs w:val="26"/>
                  <w:rtl/>
                </w:rPr>
                <w:alias w:val="1486"/>
                <w:tag w:val="1486"/>
                <w:id w:val="-1044989751"/>
                <w:text w:multiLine="1"/>
              </w:sdtPr>
              <w:sdtEndPr/>
              <w:sdtContent>
                <w:r w:rsidR="00E67EFF" w:rsidRPr="007C148B">
                  <w:rPr>
                    <w:b/>
                    <w:bCs/>
                    <w:sz w:val="26"/>
                    <w:szCs w:val="26"/>
                    <w:rtl/>
                  </w:rPr>
                  <w:t>פקיד שומה גוש דן</w:t>
                </w:r>
                <w:r w:rsidR="007C148B" w:rsidRPr="007C148B">
                  <w:rPr>
                    <w:b/>
                    <w:bCs/>
                    <w:sz w:val="26"/>
                    <w:szCs w:val="26"/>
                    <w:rtl/>
                  </w:rPr>
                  <w:br/>
                </w:r>
                <w:r w:rsidR="007C148B" w:rsidRPr="007C148B">
                  <w:rPr>
                    <w:rFonts w:hint="cs"/>
                    <w:b/>
                    <w:bCs/>
                    <w:sz w:val="26"/>
                    <w:szCs w:val="26"/>
                    <w:rtl/>
                  </w:rPr>
                  <w:t>ע"י ב"כ עו"ד ניר וילנר</w:t>
                </w:r>
                <w:r w:rsidR="007C148B" w:rsidRPr="007C148B">
                  <w:rPr>
                    <w:b/>
                    <w:bCs/>
                    <w:sz w:val="26"/>
                    <w:szCs w:val="26"/>
                    <w:rtl/>
                  </w:rPr>
                  <w:br/>
                </w:r>
                <w:r w:rsidR="007C148B" w:rsidRPr="007C148B">
                  <w:rPr>
                    <w:rFonts w:hint="cs"/>
                    <w:b/>
                    <w:bCs/>
                    <w:sz w:val="26"/>
                    <w:szCs w:val="26"/>
                    <w:rtl/>
                  </w:rPr>
                  <w:t>פמת"א (אזרחי)</w:t>
                </w:r>
              </w:sdtContent>
            </w:sdt>
          </w:p>
          <w:p w:rsidR="008F3A58" w:rsidRPr="00420E12" w:rsidRDefault="008F3A58" w:rsidP="008F3A58">
            <w:pPr>
              <w:rPr>
                <w:rFonts w:ascii="Arial" w:hAnsi="Arial"/>
                <w:b/>
                <w:bCs/>
                <w:sz w:val="26"/>
                <w:szCs w:val="26"/>
                <w:rtl/>
              </w:rPr>
            </w:pPr>
          </w:p>
          <w:p w:rsidR="008F3A58" w:rsidRPr="00420E12" w:rsidRDefault="008F3A58" w:rsidP="008F3A58">
            <w:pPr>
              <w:bidi w:val="0"/>
              <w:jc w:val="right"/>
              <w:rPr>
                <w:rFonts w:ascii="Arial" w:hAnsi="Arial"/>
                <w:b/>
                <w:bCs/>
                <w:sz w:val="26"/>
                <w:szCs w:val="26"/>
                <w:rtl/>
              </w:rPr>
            </w:pPr>
          </w:p>
        </w:tc>
      </w:tr>
    </w:tbl>
    <w:p w:rsidR="0002177A" w:rsidRDefault="0002177A">
      <w:pPr>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420E12" w:rsidRDefault="0002177A" w:rsidP="007C148B">
            <w:pPr>
              <w:rPr>
                <w:rFonts w:ascii="Arial" w:hAnsi="Arial"/>
                <w:b/>
                <w:bCs/>
                <w:sz w:val="28"/>
                <w:szCs w:val="28"/>
                <w:u w:val="single"/>
              </w:rPr>
            </w:pPr>
          </w:p>
        </w:tc>
      </w:tr>
    </w:tbl>
    <w:p w:rsidR="0002177A" w:rsidRDefault="0002177A" w:rsidP="00420E12">
      <w:pPr>
        <w:spacing w:line="360" w:lineRule="auto"/>
        <w:rPr>
          <w:rFonts w:ascii="Arial" w:hAnsi="Arial"/>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62986" w:rsidTr="00902875">
        <w:trPr>
          <w:jc w:val="center"/>
        </w:trPr>
        <w:tc>
          <w:tcPr>
            <w:tcW w:w="8820" w:type="dxa"/>
          </w:tcPr>
          <w:p w:rsidR="00962986" w:rsidRPr="00CD04D8" w:rsidRDefault="00962986" w:rsidP="00902875">
            <w:pPr>
              <w:jc w:val="center"/>
              <w:rPr>
                <w:rFonts w:ascii="Arial" w:hAnsi="Arial"/>
                <w:b/>
                <w:bCs/>
                <w:sz w:val="32"/>
                <w:szCs w:val="32"/>
                <w:u w:val="single"/>
              </w:rPr>
            </w:pPr>
            <w:r w:rsidRPr="00CD04D8">
              <w:rPr>
                <w:rFonts w:ascii="Arial" w:hAnsi="Arial"/>
                <w:b/>
                <w:bCs/>
                <w:sz w:val="32"/>
                <w:szCs w:val="32"/>
                <w:u w:val="single"/>
                <w:rtl/>
              </w:rPr>
              <w:t>החלטה</w:t>
            </w:r>
          </w:p>
        </w:tc>
      </w:tr>
    </w:tbl>
    <w:p w:rsidR="00962986" w:rsidRDefault="00962986" w:rsidP="00962986">
      <w:pPr>
        <w:spacing w:line="360" w:lineRule="auto"/>
        <w:rPr>
          <w:rFonts w:ascii="Arial" w:hAnsi="Arial"/>
          <w:rtl/>
        </w:rPr>
      </w:pPr>
    </w:p>
    <w:p w:rsidR="00962986" w:rsidRDefault="00962986" w:rsidP="00962986">
      <w:pPr>
        <w:spacing w:before="240" w:line="360" w:lineRule="auto"/>
        <w:jc w:val="both"/>
        <w:rPr>
          <w:rFonts w:ascii="David" w:hAnsi="David"/>
          <w:sz w:val="26"/>
          <w:szCs w:val="26"/>
          <w:rtl/>
        </w:rPr>
      </w:pPr>
      <w:r>
        <w:rPr>
          <w:rFonts w:ascii="David" w:hAnsi="David" w:hint="cs"/>
          <w:sz w:val="26"/>
          <w:szCs w:val="26"/>
          <w:rtl/>
        </w:rPr>
        <w:t xml:space="preserve">מונחת לפניי בקשה מטעם המערערת להשתת נטל ההוכחה ונטל הבאת הראיות בהליך על המשיב. </w:t>
      </w:r>
    </w:p>
    <w:p w:rsidR="00962986" w:rsidRPr="000514B8" w:rsidRDefault="00962986" w:rsidP="00962986">
      <w:pPr>
        <w:spacing w:before="240" w:line="360" w:lineRule="auto"/>
        <w:jc w:val="both"/>
        <w:rPr>
          <w:rFonts w:ascii="David" w:hAnsi="David"/>
          <w:b/>
          <w:bCs/>
          <w:sz w:val="28"/>
          <w:szCs w:val="28"/>
          <w:u w:val="single"/>
        </w:rPr>
      </w:pPr>
      <w:r w:rsidRPr="000514B8">
        <w:rPr>
          <w:rFonts w:ascii="David" w:hAnsi="David" w:hint="cs"/>
          <w:b/>
          <w:bCs/>
          <w:sz w:val="28"/>
          <w:szCs w:val="28"/>
          <w:u w:val="single"/>
          <w:rtl/>
        </w:rPr>
        <w:t>המסד העובדתי הרלוונטי למחלוקת בעניין נטל ההוכחה</w:t>
      </w:r>
    </w:p>
    <w:p w:rsidR="00962986" w:rsidRDefault="00962986" w:rsidP="00962986">
      <w:pPr>
        <w:numPr>
          <w:ilvl w:val="0"/>
          <w:numId w:val="4"/>
        </w:numPr>
        <w:spacing w:before="240" w:line="360" w:lineRule="auto"/>
        <w:jc w:val="both"/>
        <w:rPr>
          <w:rFonts w:ascii="David" w:hAnsi="David"/>
          <w:sz w:val="26"/>
          <w:szCs w:val="26"/>
        </w:rPr>
      </w:pPr>
      <w:r>
        <w:rPr>
          <w:rFonts w:ascii="David" w:hAnsi="David" w:hint="cs"/>
          <w:sz w:val="26"/>
          <w:szCs w:val="26"/>
          <w:rtl/>
        </w:rPr>
        <w:t xml:space="preserve">המערערת נרשמה </w:t>
      </w:r>
      <w:r>
        <w:rPr>
          <w:rFonts w:ascii="David" w:hAnsi="David" w:hint="cs"/>
          <w:noProof/>
          <w:sz w:val="26"/>
          <w:szCs w:val="26"/>
          <w:rtl/>
        </w:rPr>
        <w:t>בישראל</w:t>
      </w:r>
      <w:r>
        <w:rPr>
          <w:rFonts w:ascii="David" w:hAnsi="David" w:hint="cs"/>
          <w:sz w:val="26"/>
          <w:szCs w:val="26"/>
          <w:rtl/>
        </w:rPr>
        <w:t xml:space="preserve"> כחברת חוץ ומשמשת סניף של חברה הרשומה באיי הבתולה הבריטיים (להלן </w:t>
      </w:r>
      <w:r>
        <w:rPr>
          <w:rFonts w:ascii="David" w:hAnsi="David"/>
          <w:sz w:val="26"/>
          <w:szCs w:val="26"/>
          <w:rtl/>
        </w:rPr>
        <w:t>–</w:t>
      </w:r>
      <w:r>
        <w:rPr>
          <w:rFonts w:ascii="David" w:hAnsi="David" w:hint="cs"/>
          <w:sz w:val="26"/>
          <w:szCs w:val="26"/>
          <w:rtl/>
        </w:rPr>
        <w:t xml:space="preserve"> "</w:t>
      </w:r>
      <w:r w:rsidRPr="008B4BC9">
        <w:rPr>
          <w:rFonts w:ascii="David" w:hAnsi="David" w:hint="eastAsia"/>
          <w:b/>
          <w:bCs/>
          <w:sz w:val="26"/>
          <w:szCs w:val="26"/>
          <w:rtl/>
        </w:rPr>
        <w:t>חברת</w:t>
      </w:r>
      <w:r>
        <w:rPr>
          <w:rFonts w:ascii="David" w:hAnsi="David" w:hint="cs"/>
          <w:sz w:val="26"/>
          <w:szCs w:val="26"/>
          <w:rtl/>
        </w:rPr>
        <w:t xml:space="preserve"> </w:t>
      </w:r>
      <w:r w:rsidRPr="00390FFD">
        <w:rPr>
          <w:rFonts w:ascii="David" w:hAnsi="David" w:hint="cs"/>
          <w:b/>
          <w:bCs/>
          <w:sz w:val="26"/>
          <w:szCs w:val="26"/>
        </w:rPr>
        <w:t>BVI</w:t>
      </w:r>
      <w:r>
        <w:rPr>
          <w:rFonts w:ascii="David" w:hAnsi="David" w:hint="cs"/>
          <w:sz w:val="26"/>
          <w:szCs w:val="26"/>
          <w:rtl/>
        </w:rPr>
        <w:t xml:space="preserve">"). </w:t>
      </w:r>
    </w:p>
    <w:p w:rsidR="00962986" w:rsidRDefault="00962986" w:rsidP="00962986">
      <w:pPr>
        <w:numPr>
          <w:ilvl w:val="0"/>
          <w:numId w:val="4"/>
        </w:numPr>
        <w:spacing w:before="240" w:line="360" w:lineRule="auto"/>
        <w:jc w:val="both"/>
        <w:rPr>
          <w:rFonts w:ascii="David" w:hAnsi="David"/>
          <w:sz w:val="26"/>
          <w:szCs w:val="26"/>
        </w:rPr>
      </w:pPr>
      <w:r>
        <w:rPr>
          <w:rFonts w:ascii="David" w:hAnsi="David" w:hint="cs"/>
          <w:sz w:val="26"/>
          <w:szCs w:val="26"/>
          <w:rtl/>
        </w:rPr>
        <w:t xml:space="preserve">חברת </w:t>
      </w:r>
      <w:r>
        <w:rPr>
          <w:rFonts w:ascii="David" w:hAnsi="David" w:hint="cs"/>
          <w:sz w:val="26"/>
          <w:szCs w:val="26"/>
        </w:rPr>
        <w:t>BVI</w:t>
      </w:r>
      <w:r>
        <w:rPr>
          <w:rFonts w:ascii="David" w:hAnsi="David" w:hint="cs"/>
          <w:sz w:val="26"/>
          <w:szCs w:val="26"/>
          <w:rtl/>
        </w:rPr>
        <w:t xml:space="preserve"> מוחזקת על ידי</w:t>
      </w:r>
      <w:r w:rsidRPr="00A93F7E">
        <w:rPr>
          <w:rFonts w:ascii="David" w:hAnsi="David" w:hint="cs"/>
          <w:sz w:val="26"/>
          <w:szCs w:val="26"/>
          <w:rtl/>
        </w:rPr>
        <w:t xml:space="preserve"> חברת </w:t>
      </w:r>
      <w:r w:rsidRPr="00A93F7E">
        <w:rPr>
          <w:rFonts w:ascii="David" w:hAnsi="David"/>
          <w:sz w:val="26"/>
          <w:szCs w:val="26"/>
        </w:rPr>
        <w:t>Berggruen Holding LTD</w:t>
      </w:r>
      <w:r w:rsidRPr="00A93F7E">
        <w:rPr>
          <w:rFonts w:ascii="David" w:hAnsi="David" w:hint="cs"/>
          <w:sz w:val="26"/>
          <w:szCs w:val="26"/>
          <w:rtl/>
        </w:rPr>
        <w:t xml:space="preserve"> (להלן </w:t>
      </w:r>
      <w:r w:rsidRPr="00A93F7E">
        <w:rPr>
          <w:rFonts w:ascii="David" w:hAnsi="David"/>
          <w:sz w:val="26"/>
          <w:szCs w:val="26"/>
          <w:rtl/>
        </w:rPr>
        <w:t>–</w:t>
      </w:r>
      <w:r w:rsidRPr="00A93F7E">
        <w:rPr>
          <w:rFonts w:ascii="David" w:hAnsi="David" w:hint="cs"/>
          <w:sz w:val="26"/>
          <w:szCs w:val="26"/>
          <w:rtl/>
        </w:rPr>
        <w:t xml:space="preserve"> "</w:t>
      </w:r>
      <w:r w:rsidRPr="000514B8">
        <w:rPr>
          <w:rFonts w:ascii="David" w:hAnsi="David" w:hint="cs"/>
          <w:b/>
          <w:bCs/>
          <w:sz w:val="26"/>
          <w:szCs w:val="26"/>
          <w:rtl/>
        </w:rPr>
        <w:t>חברת האם</w:t>
      </w:r>
      <w:r w:rsidRPr="00A93F7E">
        <w:rPr>
          <w:rFonts w:ascii="David" w:hAnsi="David" w:hint="cs"/>
          <w:sz w:val="26"/>
          <w:szCs w:val="26"/>
          <w:rtl/>
        </w:rPr>
        <w:t>")</w:t>
      </w:r>
      <w:r>
        <w:rPr>
          <w:rFonts w:ascii="David" w:hAnsi="David" w:hint="cs"/>
          <w:sz w:val="26"/>
          <w:szCs w:val="26"/>
          <w:rtl/>
        </w:rPr>
        <w:t xml:space="preserve"> בשיעור של 48%, כאשר גם חברת האם רשומה באיי הבתולה הבריטיים. יתרת האחזקות בחברה מוחזקות בידי קבוצת חג'ג'-כהן השקעות בע"מ בשיעור של 48% ובידי מר יגאל צמח בשיעור של 4%.</w:t>
      </w:r>
    </w:p>
    <w:p w:rsidR="00962986" w:rsidRDefault="00962986" w:rsidP="006D74E3">
      <w:pPr>
        <w:numPr>
          <w:ilvl w:val="0"/>
          <w:numId w:val="4"/>
        </w:numPr>
        <w:spacing w:before="240" w:line="360" w:lineRule="auto"/>
        <w:jc w:val="both"/>
        <w:rPr>
          <w:rFonts w:ascii="David" w:hAnsi="David"/>
          <w:sz w:val="26"/>
          <w:szCs w:val="26"/>
        </w:rPr>
      </w:pPr>
      <w:r w:rsidRPr="00957E6C">
        <w:rPr>
          <w:rFonts w:ascii="David" w:hAnsi="David"/>
          <w:sz w:val="26"/>
          <w:szCs w:val="26"/>
          <w:rtl/>
        </w:rPr>
        <w:t xml:space="preserve">בשנת 2007 </w:t>
      </w:r>
      <w:r w:rsidR="006D74E3">
        <w:rPr>
          <w:rFonts w:ascii="David" w:hAnsi="David" w:hint="cs"/>
          <w:sz w:val="26"/>
          <w:szCs w:val="26"/>
          <w:rtl/>
        </w:rPr>
        <w:t>לוותה</w:t>
      </w:r>
      <w:r w:rsidRPr="00957E6C">
        <w:rPr>
          <w:rFonts w:ascii="David" w:hAnsi="David"/>
          <w:sz w:val="26"/>
          <w:szCs w:val="26"/>
          <w:rtl/>
        </w:rPr>
        <w:t xml:space="preserve"> המערערת</w:t>
      </w:r>
      <w:r w:rsidR="006D74E3">
        <w:rPr>
          <w:rFonts w:ascii="David" w:hAnsi="David" w:hint="cs"/>
          <w:sz w:val="26"/>
          <w:szCs w:val="26"/>
          <w:rtl/>
        </w:rPr>
        <w:t xml:space="preserve"> כספים</w:t>
      </w:r>
      <w:r w:rsidR="006D74E3">
        <w:rPr>
          <w:rFonts w:ascii="David" w:hAnsi="David"/>
          <w:sz w:val="26"/>
          <w:szCs w:val="26"/>
          <w:rtl/>
        </w:rPr>
        <w:t xml:space="preserve"> </w:t>
      </w:r>
      <w:r w:rsidR="006D74E3">
        <w:rPr>
          <w:rFonts w:ascii="David" w:hAnsi="David" w:hint="cs"/>
          <w:sz w:val="26"/>
          <w:szCs w:val="26"/>
          <w:rtl/>
        </w:rPr>
        <w:t>מ</w:t>
      </w:r>
      <w:r w:rsidRPr="00957E6C">
        <w:rPr>
          <w:rFonts w:ascii="David" w:hAnsi="David"/>
          <w:sz w:val="26"/>
          <w:szCs w:val="26"/>
          <w:rtl/>
        </w:rPr>
        <w:t xml:space="preserve">חברת </w:t>
      </w:r>
      <w:r w:rsidRPr="00957E6C">
        <w:rPr>
          <w:rFonts w:ascii="David" w:hAnsi="David" w:hint="eastAsia"/>
          <w:sz w:val="26"/>
          <w:szCs w:val="26"/>
          <w:rtl/>
        </w:rPr>
        <w:t>האם</w:t>
      </w:r>
      <w:r w:rsidR="006D74E3" w:rsidRPr="006D74E3">
        <w:rPr>
          <w:rFonts w:ascii="David" w:hAnsi="David"/>
          <w:sz w:val="26"/>
          <w:szCs w:val="26"/>
          <w:rtl/>
        </w:rPr>
        <w:t xml:space="preserve"> </w:t>
      </w:r>
      <w:r w:rsidR="006D74E3">
        <w:rPr>
          <w:rFonts w:ascii="David" w:hAnsi="David"/>
          <w:sz w:val="26"/>
          <w:szCs w:val="26"/>
          <w:rtl/>
        </w:rPr>
        <w:t>ב</w:t>
      </w:r>
      <w:r w:rsidR="006D74E3">
        <w:rPr>
          <w:rFonts w:ascii="David" w:hAnsi="David" w:hint="cs"/>
          <w:sz w:val="26"/>
          <w:szCs w:val="26"/>
          <w:rtl/>
        </w:rPr>
        <w:t xml:space="preserve">מסגרת </w:t>
      </w:r>
      <w:r w:rsidR="006D74E3">
        <w:rPr>
          <w:rFonts w:ascii="David" w:hAnsi="David"/>
          <w:sz w:val="26"/>
          <w:szCs w:val="26"/>
          <w:rtl/>
        </w:rPr>
        <w:t>הסכם הלוואה</w:t>
      </w:r>
      <w:r w:rsidRPr="00957E6C">
        <w:rPr>
          <w:rFonts w:ascii="David" w:hAnsi="David"/>
          <w:sz w:val="26"/>
          <w:szCs w:val="26"/>
          <w:rtl/>
        </w:rPr>
        <w:t xml:space="preserve">. תנאי ההלוואה נקבעו מחדש בשנת 2009 לאחר הצטרפות </w:t>
      </w:r>
      <w:r w:rsidRPr="00957E6C">
        <w:rPr>
          <w:rFonts w:ascii="David" w:hAnsi="David" w:hint="eastAsia"/>
          <w:sz w:val="26"/>
          <w:szCs w:val="26"/>
          <w:rtl/>
        </w:rPr>
        <w:t>קבוצת</w:t>
      </w:r>
      <w:r w:rsidRPr="00957E6C">
        <w:rPr>
          <w:rFonts w:ascii="David" w:hAnsi="David"/>
          <w:sz w:val="26"/>
          <w:szCs w:val="26"/>
          <w:rtl/>
        </w:rPr>
        <w:t xml:space="preserve"> </w:t>
      </w:r>
      <w:r w:rsidRPr="00957E6C">
        <w:rPr>
          <w:rFonts w:ascii="David" w:hAnsi="David" w:hint="eastAsia"/>
          <w:sz w:val="26"/>
          <w:szCs w:val="26"/>
          <w:rtl/>
        </w:rPr>
        <w:t>חג</w:t>
      </w:r>
      <w:r w:rsidRPr="00957E6C">
        <w:rPr>
          <w:rFonts w:ascii="David" w:hAnsi="David"/>
          <w:sz w:val="26"/>
          <w:szCs w:val="26"/>
          <w:rtl/>
        </w:rPr>
        <w:t xml:space="preserve">'ג' כבעלת מניות בחברת </w:t>
      </w:r>
      <w:r w:rsidRPr="00957E6C">
        <w:rPr>
          <w:rFonts w:ascii="David" w:hAnsi="David"/>
          <w:sz w:val="26"/>
          <w:szCs w:val="26"/>
        </w:rPr>
        <w:t>BVI</w:t>
      </w:r>
      <w:r w:rsidRPr="00957E6C">
        <w:rPr>
          <w:rFonts w:ascii="David" w:hAnsi="David"/>
          <w:sz w:val="26"/>
          <w:szCs w:val="26"/>
          <w:rtl/>
        </w:rPr>
        <w:t>. בהתאם ללוח הסילוקין של ההלוואה, שיעור הריבית השנתית של ההלוואה הוא 8%, ויתרתה עמדה ביום 30.6.</w:t>
      </w:r>
      <w:r>
        <w:rPr>
          <w:rFonts w:ascii="David" w:hAnsi="David" w:hint="cs"/>
          <w:sz w:val="26"/>
          <w:szCs w:val="26"/>
          <w:rtl/>
        </w:rPr>
        <w:t>20</w:t>
      </w:r>
      <w:r w:rsidRPr="00957E6C">
        <w:rPr>
          <w:rFonts w:ascii="David" w:hAnsi="David"/>
          <w:sz w:val="26"/>
          <w:szCs w:val="26"/>
          <w:rtl/>
        </w:rPr>
        <w:t>09 על סך</w:t>
      </w:r>
      <w:r>
        <w:rPr>
          <w:rFonts w:ascii="David" w:hAnsi="David" w:hint="cs"/>
          <w:sz w:val="26"/>
          <w:szCs w:val="26"/>
          <w:rtl/>
        </w:rPr>
        <w:t xml:space="preserve"> </w:t>
      </w:r>
      <w:r>
        <w:rPr>
          <w:rFonts w:ascii="David" w:hAnsi="David"/>
          <w:sz w:val="26"/>
          <w:szCs w:val="26"/>
          <w:rtl/>
        </w:rPr>
        <w:t xml:space="preserve">של 159,880,000 </w:t>
      </w:r>
      <w:r>
        <w:rPr>
          <w:rFonts w:ascii="David" w:hAnsi="David" w:hint="cs"/>
          <w:sz w:val="26"/>
          <w:szCs w:val="26"/>
          <w:rtl/>
        </w:rPr>
        <w:t xml:space="preserve">ש"ח (להלן </w:t>
      </w:r>
      <w:r>
        <w:rPr>
          <w:rFonts w:ascii="David" w:hAnsi="David"/>
          <w:sz w:val="26"/>
          <w:szCs w:val="26"/>
          <w:rtl/>
        </w:rPr>
        <w:t>–</w:t>
      </w:r>
      <w:r>
        <w:rPr>
          <w:rFonts w:ascii="David" w:hAnsi="David" w:hint="cs"/>
          <w:sz w:val="26"/>
          <w:szCs w:val="26"/>
          <w:rtl/>
        </w:rPr>
        <w:t xml:space="preserve"> "</w:t>
      </w:r>
      <w:r w:rsidRPr="008B4BC9">
        <w:rPr>
          <w:rFonts w:ascii="David" w:hAnsi="David" w:hint="eastAsia"/>
          <w:b/>
          <w:bCs/>
          <w:sz w:val="26"/>
          <w:szCs w:val="26"/>
          <w:rtl/>
        </w:rPr>
        <w:t>ההלוואה</w:t>
      </w:r>
      <w:r>
        <w:rPr>
          <w:rFonts w:ascii="David" w:hAnsi="David" w:hint="cs"/>
          <w:sz w:val="26"/>
          <w:szCs w:val="26"/>
          <w:rtl/>
        </w:rPr>
        <w:t>").</w:t>
      </w:r>
    </w:p>
    <w:p w:rsidR="00962986" w:rsidRDefault="00962986" w:rsidP="006D74E3">
      <w:pPr>
        <w:numPr>
          <w:ilvl w:val="0"/>
          <w:numId w:val="4"/>
        </w:numPr>
        <w:spacing w:before="240" w:line="360" w:lineRule="auto"/>
        <w:jc w:val="both"/>
        <w:rPr>
          <w:rFonts w:ascii="David" w:hAnsi="David"/>
          <w:sz w:val="26"/>
          <w:szCs w:val="26"/>
        </w:rPr>
      </w:pPr>
      <w:r w:rsidRPr="00351B85">
        <w:rPr>
          <w:rFonts w:ascii="David" w:hAnsi="David" w:hint="cs"/>
          <w:sz w:val="26"/>
          <w:szCs w:val="26"/>
          <w:rtl/>
        </w:rPr>
        <w:lastRenderedPageBreak/>
        <w:t>בתאריך 8.9.2015, חברת האם חתמה על הסכם המחאת חוב עם חברת</w:t>
      </w:r>
      <w:r w:rsidR="006D74E3" w:rsidRPr="006D74E3">
        <w:rPr>
          <w:rFonts w:ascii="David" w:hAnsi="David"/>
          <w:sz w:val="26"/>
          <w:szCs w:val="26"/>
        </w:rPr>
        <w:t xml:space="preserve"> </w:t>
      </w:r>
      <w:r w:rsidR="006D74E3" w:rsidRPr="00957E6C">
        <w:rPr>
          <w:rFonts w:ascii="David" w:hAnsi="David"/>
          <w:sz w:val="26"/>
          <w:szCs w:val="26"/>
        </w:rPr>
        <w:t>Berggruen</w:t>
      </w:r>
      <w:r w:rsidR="006D74E3" w:rsidRPr="00351B85">
        <w:rPr>
          <w:rFonts w:ascii="David" w:hAnsi="David"/>
          <w:sz w:val="26"/>
          <w:szCs w:val="26"/>
        </w:rPr>
        <w:t xml:space="preserve"> Acquisition Holding</w:t>
      </w:r>
      <w:r w:rsidR="006D74E3">
        <w:rPr>
          <w:rFonts w:ascii="David" w:hAnsi="David"/>
          <w:sz w:val="26"/>
          <w:szCs w:val="26"/>
        </w:rPr>
        <w:t>s</w:t>
      </w:r>
      <w:r w:rsidR="006D74E3" w:rsidRPr="00351B85">
        <w:rPr>
          <w:rFonts w:ascii="David" w:hAnsi="David"/>
          <w:sz w:val="26"/>
          <w:szCs w:val="26"/>
        </w:rPr>
        <w:t xml:space="preserve"> s.a.r.l</w:t>
      </w:r>
      <w:r w:rsidRPr="00351B85">
        <w:rPr>
          <w:rFonts w:ascii="David" w:hAnsi="David" w:hint="cs"/>
          <w:sz w:val="26"/>
          <w:szCs w:val="26"/>
          <w:rtl/>
        </w:rPr>
        <w:t>, חברה שמקום מושבה הוא בלוקסמבורג</w:t>
      </w:r>
      <w:r>
        <w:rPr>
          <w:rFonts w:ascii="David" w:hAnsi="David" w:hint="cs"/>
          <w:sz w:val="26"/>
          <w:szCs w:val="26"/>
          <w:rtl/>
        </w:rPr>
        <w:t>,</w:t>
      </w:r>
      <w:r w:rsidRPr="00351B85">
        <w:rPr>
          <w:rFonts w:ascii="David" w:hAnsi="David" w:hint="cs"/>
          <w:sz w:val="26"/>
          <w:szCs w:val="26"/>
          <w:rtl/>
        </w:rPr>
        <w:t xml:space="preserve"> המצויה בבעלות מלאה</w:t>
      </w:r>
      <w:r>
        <w:rPr>
          <w:rFonts w:ascii="David" w:hAnsi="David" w:hint="cs"/>
          <w:sz w:val="26"/>
          <w:szCs w:val="26"/>
          <w:rtl/>
        </w:rPr>
        <w:t>, בעקיפין,</w:t>
      </w:r>
      <w:r w:rsidRPr="00351B85">
        <w:rPr>
          <w:rFonts w:ascii="David" w:hAnsi="David" w:hint="cs"/>
          <w:sz w:val="26"/>
          <w:szCs w:val="26"/>
          <w:rtl/>
        </w:rPr>
        <w:t xml:space="preserve"> של חברת האם</w:t>
      </w:r>
      <w:r>
        <w:rPr>
          <w:rFonts w:ascii="David" w:hAnsi="David" w:hint="cs"/>
          <w:sz w:val="26"/>
          <w:szCs w:val="26"/>
          <w:rtl/>
        </w:rPr>
        <w:t xml:space="preserve"> (להלן, בהתאמה </w:t>
      </w:r>
      <w:r>
        <w:rPr>
          <w:rFonts w:ascii="David" w:hAnsi="David"/>
          <w:sz w:val="26"/>
          <w:szCs w:val="26"/>
          <w:rtl/>
        </w:rPr>
        <w:t>–</w:t>
      </w:r>
      <w:r>
        <w:rPr>
          <w:rFonts w:ascii="David" w:hAnsi="David" w:hint="cs"/>
          <w:sz w:val="26"/>
          <w:szCs w:val="26"/>
          <w:rtl/>
        </w:rPr>
        <w:t xml:space="preserve"> "</w:t>
      </w:r>
      <w:r>
        <w:rPr>
          <w:rFonts w:ascii="David" w:hAnsi="David" w:hint="cs"/>
          <w:b/>
          <w:bCs/>
          <w:sz w:val="26"/>
          <w:szCs w:val="26"/>
          <w:rtl/>
        </w:rPr>
        <w:t>המחאת החוב</w:t>
      </w:r>
      <w:r>
        <w:rPr>
          <w:rFonts w:ascii="David" w:hAnsi="David" w:hint="cs"/>
          <w:sz w:val="26"/>
          <w:szCs w:val="26"/>
          <w:rtl/>
        </w:rPr>
        <w:t>" ו-"</w:t>
      </w:r>
      <w:r w:rsidRPr="008B4BC9">
        <w:rPr>
          <w:rFonts w:ascii="David" w:hAnsi="David" w:hint="eastAsia"/>
          <w:b/>
          <w:bCs/>
          <w:sz w:val="26"/>
          <w:szCs w:val="26"/>
          <w:rtl/>
        </w:rPr>
        <w:t>החברה</w:t>
      </w:r>
      <w:r w:rsidRPr="008B4BC9">
        <w:rPr>
          <w:rFonts w:ascii="David" w:hAnsi="David"/>
          <w:b/>
          <w:bCs/>
          <w:sz w:val="26"/>
          <w:szCs w:val="26"/>
          <w:rtl/>
        </w:rPr>
        <w:t xml:space="preserve"> </w:t>
      </w:r>
      <w:r w:rsidRPr="008B4BC9">
        <w:rPr>
          <w:rFonts w:ascii="David" w:hAnsi="David" w:hint="eastAsia"/>
          <w:b/>
          <w:bCs/>
          <w:sz w:val="26"/>
          <w:szCs w:val="26"/>
          <w:rtl/>
        </w:rPr>
        <w:t>מלוקסמבורג</w:t>
      </w:r>
      <w:r>
        <w:rPr>
          <w:rFonts w:ascii="David" w:hAnsi="David" w:hint="cs"/>
          <w:sz w:val="26"/>
          <w:szCs w:val="26"/>
          <w:rtl/>
        </w:rPr>
        <w:t>")</w:t>
      </w:r>
      <w:r w:rsidRPr="00351B85">
        <w:rPr>
          <w:rFonts w:ascii="David" w:hAnsi="David" w:hint="cs"/>
          <w:sz w:val="26"/>
          <w:szCs w:val="26"/>
          <w:rtl/>
        </w:rPr>
        <w:t xml:space="preserve">. </w:t>
      </w:r>
    </w:p>
    <w:p w:rsidR="00962986" w:rsidRDefault="00962986" w:rsidP="009A7E02">
      <w:pPr>
        <w:numPr>
          <w:ilvl w:val="0"/>
          <w:numId w:val="4"/>
        </w:numPr>
        <w:spacing w:before="240" w:line="360" w:lineRule="auto"/>
        <w:jc w:val="both"/>
        <w:rPr>
          <w:rFonts w:ascii="David" w:hAnsi="David"/>
          <w:sz w:val="26"/>
          <w:szCs w:val="26"/>
        </w:rPr>
      </w:pPr>
      <w:r w:rsidRPr="00351B85">
        <w:rPr>
          <w:rFonts w:ascii="David" w:hAnsi="David" w:hint="cs"/>
          <w:sz w:val="26"/>
          <w:szCs w:val="26"/>
          <w:rtl/>
        </w:rPr>
        <w:t xml:space="preserve">בהתאם </w:t>
      </w:r>
      <w:r>
        <w:rPr>
          <w:rFonts w:ascii="David" w:hAnsi="David" w:hint="cs"/>
          <w:sz w:val="26"/>
          <w:szCs w:val="26"/>
          <w:rtl/>
        </w:rPr>
        <w:t>להסכם המחאת החוב</w:t>
      </w:r>
      <w:r w:rsidRPr="00351B85">
        <w:rPr>
          <w:rFonts w:ascii="David" w:hAnsi="David" w:hint="cs"/>
          <w:sz w:val="26"/>
          <w:szCs w:val="26"/>
          <w:rtl/>
        </w:rPr>
        <w:t>, חברת האם העבירה</w:t>
      </w:r>
      <w:r>
        <w:rPr>
          <w:rFonts w:ascii="David" w:hAnsi="David" w:hint="cs"/>
          <w:sz w:val="26"/>
          <w:szCs w:val="26"/>
          <w:rtl/>
        </w:rPr>
        <w:t xml:space="preserve"> לחברה</w:t>
      </w:r>
      <w:r w:rsidRPr="00351B85">
        <w:rPr>
          <w:rFonts w:ascii="David" w:hAnsi="David" w:hint="cs"/>
          <w:sz w:val="26"/>
          <w:szCs w:val="26"/>
          <w:rtl/>
        </w:rPr>
        <w:t xml:space="preserve"> </w:t>
      </w:r>
      <w:r>
        <w:rPr>
          <w:rFonts w:ascii="David" w:hAnsi="David" w:hint="cs"/>
          <w:sz w:val="26"/>
          <w:szCs w:val="26"/>
          <w:rtl/>
        </w:rPr>
        <w:t>מלוקסמבורג</w:t>
      </w:r>
      <w:r w:rsidRPr="00351B85">
        <w:rPr>
          <w:rFonts w:ascii="David" w:hAnsi="David" w:hint="cs"/>
          <w:sz w:val="26"/>
          <w:szCs w:val="26"/>
          <w:rtl/>
        </w:rPr>
        <w:t xml:space="preserve"> את כל זכויותיה בהלוואה, לרבות הזכויות לקבלת הקרן והריבית הצבורה. נכון ל</w:t>
      </w:r>
      <w:r w:rsidR="009A7E02">
        <w:rPr>
          <w:rFonts w:ascii="David" w:hAnsi="David" w:hint="cs"/>
          <w:sz w:val="26"/>
          <w:szCs w:val="26"/>
          <w:rtl/>
        </w:rPr>
        <w:t xml:space="preserve">אותו </w:t>
      </w:r>
      <w:r w:rsidRPr="00351B85">
        <w:rPr>
          <w:rFonts w:ascii="David" w:hAnsi="David" w:hint="cs"/>
          <w:sz w:val="26"/>
          <w:szCs w:val="26"/>
          <w:rtl/>
        </w:rPr>
        <w:t>מועד</w:t>
      </w:r>
      <w:r w:rsidR="009A7E02">
        <w:rPr>
          <w:rFonts w:ascii="David" w:hAnsi="David" w:hint="cs"/>
          <w:sz w:val="26"/>
          <w:szCs w:val="26"/>
          <w:rtl/>
        </w:rPr>
        <w:t>,</w:t>
      </w:r>
      <w:r w:rsidRPr="00351B85">
        <w:rPr>
          <w:rFonts w:ascii="David" w:hAnsi="David" w:hint="cs"/>
          <w:sz w:val="26"/>
          <w:szCs w:val="26"/>
          <w:rtl/>
        </w:rPr>
        <w:t xml:space="preserve"> הסכום המצטבר של הקרן והריבית בגין ההלוואה עמד על 187,375,326 ש"ח. </w:t>
      </w:r>
    </w:p>
    <w:p w:rsidR="00962986" w:rsidRDefault="00AC2303" w:rsidP="00AC2303">
      <w:pPr>
        <w:numPr>
          <w:ilvl w:val="0"/>
          <w:numId w:val="4"/>
        </w:numPr>
        <w:spacing w:before="240" w:line="360" w:lineRule="auto"/>
        <w:jc w:val="both"/>
        <w:rPr>
          <w:rFonts w:ascii="David" w:hAnsi="David"/>
          <w:sz w:val="26"/>
          <w:szCs w:val="26"/>
        </w:rPr>
      </w:pPr>
      <w:r>
        <w:rPr>
          <w:rFonts w:ascii="David" w:hAnsi="David" w:hint="cs"/>
          <w:sz w:val="26"/>
          <w:szCs w:val="26"/>
          <w:rtl/>
        </w:rPr>
        <w:t>כנגד המחאת החוב, ובמסגרת הסכם ההמחאה, הוסכם כי סך של 185,501,703 ש"ח יעמוד כהלוואה של חברת האם לחברה מלוקסמבורג, בריבית של 7.65%</w:t>
      </w:r>
      <w:r w:rsidR="00962986">
        <w:rPr>
          <w:rFonts w:ascii="David" w:hAnsi="David" w:hint="cs"/>
          <w:sz w:val="26"/>
          <w:szCs w:val="26"/>
          <w:rtl/>
        </w:rPr>
        <w:t>.</w:t>
      </w:r>
    </w:p>
    <w:p w:rsidR="00962986" w:rsidRDefault="00962986" w:rsidP="004C0005">
      <w:pPr>
        <w:numPr>
          <w:ilvl w:val="0"/>
          <w:numId w:val="4"/>
        </w:numPr>
        <w:spacing w:before="240" w:line="360" w:lineRule="auto"/>
        <w:jc w:val="both"/>
        <w:rPr>
          <w:rFonts w:ascii="David" w:hAnsi="David"/>
          <w:sz w:val="26"/>
          <w:szCs w:val="26"/>
        </w:rPr>
      </w:pPr>
      <w:r>
        <w:rPr>
          <w:rFonts w:ascii="David" w:hAnsi="David" w:hint="cs"/>
          <w:sz w:val="26"/>
          <w:szCs w:val="26"/>
          <w:rtl/>
        </w:rPr>
        <w:t xml:space="preserve">כלומר, לאחר המחאת החוב, המערערת הייתה </w:t>
      </w:r>
      <w:r w:rsidR="004C0005">
        <w:rPr>
          <w:rFonts w:ascii="David" w:hAnsi="David" w:hint="cs"/>
          <w:sz w:val="26"/>
          <w:szCs w:val="26"/>
          <w:rtl/>
        </w:rPr>
        <w:t>מחויבת</w:t>
      </w:r>
      <w:r>
        <w:rPr>
          <w:rFonts w:ascii="David" w:hAnsi="David" w:hint="cs"/>
          <w:sz w:val="26"/>
          <w:szCs w:val="26"/>
          <w:rtl/>
        </w:rPr>
        <w:t xml:space="preserve"> להשיב את ההלוואה לחברה מלוקסמבורג, שבתורה, הייתה מחויבת להשיב חוב בשיעור דומה לחברת האם.</w:t>
      </w:r>
    </w:p>
    <w:p w:rsidR="00962986" w:rsidRDefault="00962986" w:rsidP="00962986">
      <w:pPr>
        <w:spacing w:before="240" w:line="360" w:lineRule="auto"/>
        <w:ind w:left="360"/>
        <w:jc w:val="both"/>
        <w:rPr>
          <w:rFonts w:ascii="David" w:hAnsi="David"/>
          <w:sz w:val="26"/>
          <w:szCs w:val="26"/>
          <w:rtl/>
        </w:rPr>
      </w:pPr>
      <w:r>
        <w:rPr>
          <w:noProof/>
          <w:rtl/>
        </w:rPr>
        <mc:AlternateContent>
          <mc:Choice Requires="wps">
            <w:drawing>
              <wp:anchor distT="45720" distB="45720" distL="114300" distR="114300" simplePos="0" relativeHeight="251659264" behindDoc="0" locked="0" layoutInCell="1" allowOverlap="1" wp14:anchorId="15600B85" wp14:editId="20A69E52">
                <wp:simplePos x="0" y="0"/>
                <wp:positionH relativeFrom="column">
                  <wp:posOffset>1998345</wp:posOffset>
                </wp:positionH>
                <wp:positionV relativeFrom="paragraph">
                  <wp:posOffset>134620</wp:posOffset>
                </wp:positionV>
                <wp:extent cx="1059815" cy="461010"/>
                <wp:effectExtent l="0" t="0" r="6985" b="0"/>
                <wp:wrapSquare wrapText="bothSides"/>
                <wp:docPr id="11" name="תיבת טקסט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59815" cy="461010"/>
                        </a:xfrm>
                        <a:prstGeom prst="rect">
                          <a:avLst/>
                        </a:prstGeom>
                        <a:solidFill>
                          <a:srgbClr val="FFFFFF"/>
                        </a:solidFill>
                        <a:ln w="9525">
                          <a:solidFill>
                            <a:srgbClr val="000000"/>
                          </a:solidFill>
                          <a:miter lim="800000"/>
                          <a:headEnd/>
                          <a:tailEnd/>
                        </a:ln>
                      </wps:spPr>
                      <wps:txbx>
                        <w:txbxContent>
                          <w:p w:rsidR="00962986" w:rsidRDefault="00962986" w:rsidP="00962986">
                            <w:pPr>
                              <w:jc w:val="center"/>
                            </w:pPr>
                            <w:r>
                              <w:rPr>
                                <w:rFonts w:hint="cs"/>
                                <w:rtl/>
                              </w:rPr>
                              <w:t>חברת האם</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type id="_x0000_t202" coordsize="21600,21600" o:spt="202" path="m,l,21600r21600,l21600,xe" w14:anchorId="15600B85">
                <v:stroke joinstyle="miter"/>
                <v:path gradientshapeok="t" o:connecttype="rect"/>
              </v:shapetype>
              <v:shape id="תיבת טקסט 11" style="position:absolute;left:0;text-align:left;margin-left:157.35pt;margin-top:10.6pt;width:83.45pt;height:36.3pt;flip:x;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">
                <v:textbox>
                  <w:txbxContent>
                    <w:p w:rsidR="00962986" w:rsidP="00962986" w:rsidRDefault="00962986">
                      <w:pPr>
                        <w:jc w:val="center"/>
                      </w:pPr>
                      <w:r>
                        <w:rPr>
                          <w:rFonts w:hint="cs"/>
                          <w:rtl/>
                        </w:rPr>
                        <w:t>חברת האם</w:t>
                      </w:r>
                    </w:p>
                  </w:txbxContent>
                </v:textbox>
                <w10:wrap type="square"/>
              </v:shape>
            </w:pict>
          </mc:Fallback>
        </mc:AlternateContent>
      </w:r>
    </w:p>
    <w:p w:rsidR="00962986" w:rsidRDefault="00962986" w:rsidP="00962986">
      <w:pPr>
        <w:spacing w:before="240" w:line="360" w:lineRule="auto"/>
        <w:ind w:left="360"/>
        <w:jc w:val="both"/>
        <w:rPr>
          <w:rFonts w:ascii="David" w:hAnsi="David"/>
          <w:sz w:val="26"/>
          <w:szCs w:val="26"/>
          <w:rtl/>
        </w:rPr>
      </w:pPr>
      <w:r>
        <w:rPr>
          <w:noProof/>
          <w:rtl/>
        </w:rPr>
        <mc:AlternateContent>
          <mc:Choice Requires="wps">
            <w:drawing>
              <wp:anchor distT="0" distB="0" distL="114300" distR="114300" simplePos="0" relativeHeight="251666432" behindDoc="0" locked="0" layoutInCell="1" allowOverlap="1" wp14:anchorId="331481B0" wp14:editId="34C004DF">
                <wp:simplePos x="0" y="0"/>
                <wp:positionH relativeFrom="column">
                  <wp:posOffset>1274445</wp:posOffset>
                </wp:positionH>
                <wp:positionV relativeFrom="paragraph">
                  <wp:posOffset>198755</wp:posOffset>
                </wp:positionV>
                <wp:extent cx="930275" cy="800735"/>
                <wp:effectExtent l="0" t="38100" r="41275" b="0"/>
                <wp:wrapNone/>
                <wp:docPr id="10" name="מחבר חץ ישר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30275" cy="800735"/>
                        </a:xfrm>
                        <a:prstGeom prst="straightConnector1">
                          <a:avLst/>
                        </a:prstGeom>
                        <a:noFill/>
                        <a:ln w="9525" cap="flat" cmpd="sng" algn="ctr">
                          <a:solidFill>
                            <a:srgbClr val="4F81BD">
                              <a:shade val="95000"/>
                              <a:satMod val="105000"/>
                            </a:srgbClr>
                          </a:solidFill>
                          <a:prstDash val="lgDash"/>
                          <a:tailEnd type="triangle"/>
                        </a:ln>
                        <a:effectLst/>
                      </wps:spPr>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type id="_x0000_t32" coordsize="21600,21600" o:oned="t" filled="f" o:spt="32" path="m,l21600,21600e" w14:anchorId="1C91B10B">
                <v:path fillok="f" arrowok="t" o:connecttype="none"/>
                <o:lock v:ext="edit" shapetype="t"/>
              </v:shapetype>
              <v:shape id="מחבר חץ ישר 10" style="position:absolute;left:0;text-align:left;margin-left:100.35pt;margin-top:15.65pt;width:73.25pt;height:63.0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a7ebb"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">
                <v:stroke dashstyle="longDash" endarrow="block"/>
                <o:lock v:ext="edit" shapetype="f"/>
              </v:shape>
            </w:pict>
          </mc:Fallback>
        </mc:AlternateContent>
      </w:r>
    </w:p>
    <w:p w:rsidR="00962986" w:rsidRDefault="00962986" w:rsidP="00962986">
      <w:pPr>
        <w:spacing w:before="240" w:line="360" w:lineRule="auto"/>
        <w:ind w:left="360"/>
        <w:jc w:val="both"/>
        <w:rPr>
          <w:rFonts w:ascii="David" w:hAnsi="David"/>
          <w:sz w:val="26"/>
          <w:szCs w:val="26"/>
          <w:rtl/>
        </w:rPr>
      </w:pPr>
      <w:r>
        <w:rPr>
          <w:noProof/>
          <w:rtl/>
        </w:rPr>
        <mc:AlternateContent>
          <mc:Choice Requires="wps">
            <w:drawing>
              <wp:anchor distT="0" distB="0" distL="114300" distR="114300" simplePos="0" relativeHeight="251667456" behindDoc="0" locked="0" layoutInCell="1" allowOverlap="1" wp14:anchorId="2EB7988B" wp14:editId="5463D686">
                <wp:simplePos x="0" y="0"/>
                <wp:positionH relativeFrom="column">
                  <wp:posOffset>1076960</wp:posOffset>
                </wp:positionH>
                <wp:positionV relativeFrom="paragraph">
                  <wp:posOffset>66040</wp:posOffset>
                </wp:positionV>
                <wp:extent cx="643890" cy="262255"/>
                <wp:effectExtent l="0" t="0" r="0" b="0"/>
                <wp:wrapNone/>
                <wp:docPr id="7" name="תיבת טקסט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3890" cy="262255"/>
                        </a:xfrm>
                        <a:prstGeom prst="rect">
                          <a:avLst/>
                        </a:prstGeom>
                        <a:noFill/>
                        <a:ln w="6350">
                          <a:noFill/>
                        </a:ln>
                      </wps:spPr>
                      <wps:txbx>
                        <w:txbxContent>
                          <w:p w:rsidR="00962986" w:rsidRDefault="00962986" w:rsidP="00962986">
                            <w:r>
                              <w:rPr>
                                <w:rFonts w:hint="cs"/>
                                <w:rtl/>
                              </w:rPr>
                              <w:t>הלוואה</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 id="תיבת טקסט 7" style="position:absolute;left:0;text-align:left;margin-left:84.8pt;margin-top:5.2pt;width:50.7pt;height:20.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" w14:anchorId="2EB7988B">
                <v:path arrowok="t"/>
                <v:textbox>
                  <w:txbxContent>
                    <w:p w:rsidR="00962986" w:rsidP="00962986" w:rsidRDefault="00962986">
                      <w:r>
                        <w:rPr>
                          <w:rFonts w:hint="cs"/>
                          <w:rtl/>
                        </w:rPr>
                        <w:t>הלוואה</w:t>
                      </w:r>
                    </w:p>
                  </w:txbxContent>
                </v:textbox>
              </v:shape>
            </w:pict>
          </mc:Fallback>
        </mc:AlternateContent>
      </w:r>
    </w:p>
    <w:p w:rsidR="00962986" w:rsidRDefault="00962986" w:rsidP="00962986">
      <w:pPr>
        <w:spacing w:before="240" w:line="360" w:lineRule="auto"/>
        <w:ind w:left="360"/>
        <w:jc w:val="both"/>
        <w:rPr>
          <w:rFonts w:ascii="David" w:hAnsi="David"/>
          <w:sz w:val="26"/>
          <w:szCs w:val="26"/>
          <w:rtl/>
        </w:rPr>
      </w:pPr>
      <w:r>
        <w:rPr>
          <w:noProof/>
          <w:rtl/>
        </w:rPr>
        <mc:AlternateContent>
          <mc:Choice Requires="wps">
            <w:drawing>
              <wp:anchor distT="45720" distB="45720" distL="114300" distR="114300" simplePos="0" relativeHeight="251660288" behindDoc="0" locked="0" layoutInCell="1" allowOverlap="1" wp14:anchorId="1529BE34" wp14:editId="7D729D77">
                <wp:simplePos x="0" y="0"/>
                <wp:positionH relativeFrom="column">
                  <wp:posOffset>2983230</wp:posOffset>
                </wp:positionH>
                <wp:positionV relativeFrom="paragraph">
                  <wp:posOffset>325120</wp:posOffset>
                </wp:positionV>
                <wp:extent cx="1059815" cy="385445"/>
                <wp:effectExtent l="0" t="0" r="26035" b="14605"/>
                <wp:wrapSquare wrapText="bothSides"/>
                <wp:docPr id="5" name="תיבת טקסט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59815" cy="385445"/>
                        </a:xfrm>
                        <a:prstGeom prst="rect">
                          <a:avLst/>
                        </a:prstGeom>
                        <a:solidFill>
                          <a:srgbClr val="FFFFFF"/>
                        </a:solidFill>
                        <a:ln w="9525">
                          <a:solidFill>
                            <a:srgbClr val="000000"/>
                          </a:solidFill>
                          <a:miter lim="800000"/>
                          <a:headEnd/>
                          <a:tailEnd/>
                        </a:ln>
                      </wps:spPr>
                      <wps:txbx>
                        <w:txbxContent>
                          <w:p w:rsidR="00962986" w:rsidRDefault="00962986" w:rsidP="00962986">
                            <w:pPr>
                              <w:jc w:val="center"/>
                            </w:pPr>
                            <w:r>
                              <w:rPr>
                                <w:rFonts w:hint="cs"/>
                                <w:rtl/>
                              </w:rPr>
                              <w:t>המערערת</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 id="תיבת טקסט 5" style="position:absolute;left:0;text-align:left;margin-left:234.9pt;margin-top:25.6pt;width:83.45pt;height:30.35pt;flip:x;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" w14:anchorId="1529BE34">
                <v:textbox>
                  <w:txbxContent>
                    <w:p w:rsidR="00962986" w:rsidP="00962986" w:rsidRDefault="00962986">
                      <w:pPr>
                        <w:jc w:val="center"/>
                      </w:pPr>
                      <w:r>
                        <w:rPr>
                          <w:rFonts w:hint="cs"/>
                          <w:rtl/>
                        </w:rPr>
                        <w:t>המערערת</w:t>
                      </w:r>
                    </w:p>
                  </w:txbxContent>
                </v:textbox>
                <w10:wrap type="square"/>
              </v:shape>
            </w:pict>
          </mc:Fallback>
        </mc:AlternateContent>
      </w:r>
      <w:r>
        <w:rPr>
          <w:noProof/>
          <w:rtl/>
        </w:rPr>
        <mc:AlternateContent>
          <mc:Choice Requires="wps">
            <w:drawing>
              <wp:anchor distT="45720" distB="45720" distL="114300" distR="114300" simplePos="0" relativeHeight="251661312" behindDoc="0" locked="0" layoutInCell="1" allowOverlap="1" wp14:anchorId="310FD07F" wp14:editId="46BE7220">
                <wp:simplePos x="0" y="0"/>
                <wp:positionH relativeFrom="column">
                  <wp:posOffset>977900</wp:posOffset>
                </wp:positionH>
                <wp:positionV relativeFrom="paragraph">
                  <wp:posOffset>283210</wp:posOffset>
                </wp:positionV>
                <wp:extent cx="1059815" cy="461010"/>
                <wp:effectExtent l="0" t="0" r="6985" b="0"/>
                <wp:wrapSquare wrapText="bothSides"/>
                <wp:docPr id="6" name="תיבת טקסט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059815" cy="461010"/>
                        </a:xfrm>
                        <a:prstGeom prst="rect">
                          <a:avLst/>
                        </a:prstGeom>
                        <a:solidFill>
                          <a:srgbClr val="FFFFFF"/>
                        </a:solidFill>
                        <a:ln w="9525">
                          <a:solidFill>
                            <a:srgbClr val="000000"/>
                          </a:solidFill>
                          <a:miter lim="800000"/>
                          <a:headEnd/>
                          <a:tailEnd/>
                        </a:ln>
                      </wps:spPr>
                      <wps:txbx>
                        <w:txbxContent>
                          <w:p w:rsidR="00962986" w:rsidRDefault="00962986" w:rsidP="00962986">
                            <w:pPr>
                              <w:jc w:val="center"/>
                            </w:pPr>
                            <w:r>
                              <w:rPr>
                                <w:rFonts w:hint="cs"/>
                                <w:rtl/>
                              </w:rPr>
                              <w:t>החברה מלוקסמבורג</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 id="תיבת טקסט 6" style="position:absolute;left:0;text-align:left;margin-left:77pt;margin-top:22.3pt;width:83.45pt;height:36.3pt;flip:x;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" w14:anchorId="310FD07F">
                <v:textbox>
                  <w:txbxContent>
                    <w:p w:rsidR="00962986" w:rsidP="00962986" w:rsidRDefault="00962986">
                      <w:pPr>
                        <w:jc w:val="center"/>
                      </w:pPr>
                      <w:r>
                        <w:rPr>
                          <w:rFonts w:hint="cs"/>
                          <w:rtl/>
                        </w:rPr>
                        <w:t>החברה מלוקסמבורג</w:t>
                      </w:r>
                    </w:p>
                  </w:txbxContent>
                </v:textbox>
                <w10:wrap type="square"/>
              </v:shape>
            </w:pict>
          </mc:Fallback>
        </mc:AlternateContent>
      </w:r>
    </w:p>
    <w:p w:rsidR="00962986" w:rsidRDefault="00962986" w:rsidP="00962986">
      <w:pPr>
        <w:spacing w:before="240" w:line="360" w:lineRule="auto"/>
        <w:ind w:left="360"/>
        <w:jc w:val="both"/>
        <w:rPr>
          <w:rFonts w:ascii="David" w:hAnsi="David"/>
          <w:sz w:val="26"/>
          <w:szCs w:val="26"/>
          <w:rtl/>
        </w:rPr>
      </w:pPr>
      <w:r>
        <w:rPr>
          <w:noProof/>
          <w:rtl/>
        </w:rPr>
        <mc:AlternateContent>
          <mc:Choice Requires="wps">
            <w:drawing>
              <wp:anchor distT="0" distB="0" distL="114300" distR="114300" simplePos="0" relativeHeight="251665408" behindDoc="0" locked="0" layoutInCell="1" allowOverlap="1" wp14:anchorId="132D153D" wp14:editId="43946FF2">
                <wp:simplePos x="0" y="0"/>
                <wp:positionH relativeFrom="column">
                  <wp:posOffset>2205355</wp:posOffset>
                </wp:positionH>
                <wp:positionV relativeFrom="paragraph">
                  <wp:posOffset>156210</wp:posOffset>
                </wp:positionV>
                <wp:extent cx="643890" cy="262255"/>
                <wp:effectExtent l="0" t="0" r="0" b="0"/>
                <wp:wrapNone/>
                <wp:docPr id="4" name="תיבת טקסט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3890" cy="262255"/>
                        </a:xfrm>
                        <a:prstGeom prst="rect">
                          <a:avLst/>
                        </a:prstGeom>
                        <a:noFill/>
                        <a:ln w="6350">
                          <a:noFill/>
                        </a:ln>
                      </wps:spPr>
                      <wps:txbx>
                        <w:txbxContent>
                          <w:p w:rsidR="00962986" w:rsidRDefault="00962986" w:rsidP="00962986">
                            <w:r>
                              <w:rPr>
                                <w:rFonts w:hint="cs"/>
                                <w:rtl/>
                              </w:rPr>
                              <w:t>הלוואה</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v:shape id="תיבת טקסט 4" style="position:absolute;left:0;text-align:left;margin-left:173.65pt;margin-top:12.3pt;width:50.7pt;height:20.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" w14:anchorId="132D153D">
                <v:path arrowok="t"/>
                <v:textbox>
                  <w:txbxContent>
                    <w:p w:rsidR="00962986" w:rsidP="00962986" w:rsidRDefault="00962986">
                      <w:r>
                        <w:rPr>
                          <w:rFonts w:hint="cs"/>
                          <w:rtl/>
                        </w:rPr>
                        <w:t>הלוואה</w:t>
                      </w:r>
                    </w:p>
                  </w:txbxContent>
                </v:textbox>
              </v:shape>
            </w:pict>
          </mc:Fallback>
        </mc:AlternateContent>
      </w:r>
      <w:r>
        <w:rPr>
          <w:noProof/>
          <w:rtl/>
        </w:rPr>
        <mc:AlternateContent>
          <mc:Choice Requires="wps">
            <w:drawing>
              <wp:anchor distT="4294967295" distB="4294967295" distL="114300" distR="114300" simplePos="0" relativeHeight="251664384" behindDoc="0" locked="0" layoutInCell="1" allowOverlap="1" wp14:anchorId="309765E4" wp14:editId="3B2CA08A">
                <wp:simplePos x="0" y="0"/>
                <wp:positionH relativeFrom="column">
                  <wp:posOffset>2039620</wp:posOffset>
                </wp:positionH>
                <wp:positionV relativeFrom="paragraph">
                  <wp:posOffset>132079</wp:posOffset>
                </wp:positionV>
                <wp:extent cx="943610" cy="0"/>
                <wp:effectExtent l="38100" t="76200" r="0" b="76200"/>
                <wp:wrapNone/>
                <wp:docPr id="3" name="מחבר חץ ישר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43610" cy="0"/>
                        </a:xfrm>
                        <a:prstGeom prst="straightConnector1">
                          <a:avLst/>
                        </a:prstGeom>
                        <a:noFill/>
                        <a:ln w="9525" cap="flat" cmpd="sng" algn="ctr">
                          <a:solidFill>
                            <a:srgbClr val="4F81BD">
                              <a:shade val="95000"/>
                              <a:satMod val="105000"/>
                            </a:srgbClr>
                          </a:solidFill>
                          <a:prstDash val="lgDash"/>
                          <a:tailEnd type="triangle"/>
                        </a:ln>
                        <a:effec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v:shape id="מחבר חץ ישר 3" style="position:absolute;left:0;text-align:left;margin-left:160.6pt;margin-top:10.4pt;width:74.3pt;height:0;flip:x;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4a7ebb"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" w14:anchorId="1F8EBE38">
                <v:stroke dashstyle="longDash" endarrow="block"/>
                <o:lock v:ext="edit" shapetype="f"/>
              </v:shape>
            </w:pict>
          </mc:Fallback>
        </mc:AlternateContent>
      </w:r>
    </w:p>
    <w:p w:rsidR="00962986" w:rsidRDefault="00962986" w:rsidP="00394034">
      <w:pPr>
        <w:numPr>
          <w:ilvl w:val="0"/>
          <w:numId w:val="4"/>
        </w:numPr>
        <w:spacing w:before="240" w:line="360" w:lineRule="auto"/>
        <w:jc w:val="both"/>
        <w:rPr>
          <w:rFonts w:ascii="David" w:hAnsi="David"/>
          <w:sz w:val="26"/>
          <w:szCs w:val="26"/>
        </w:rPr>
      </w:pPr>
      <w:r>
        <w:rPr>
          <w:rFonts w:ascii="David" w:hAnsi="David" w:hint="cs"/>
          <w:sz w:val="26"/>
          <w:szCs w:val="26"/>
          <w:rtl/>
        </w:rPr>
        <w:t xml:space="preserve">ויודגש, כי </w:t>
      </w:r>
      <w:r w:rsidR="004C0005">
        <w:rPr>
          <w:rFonts w:ascii="David" w:hAnsi="David" w:hint="cs"/>
          <w:sz w:val="26"/>
          <w:szCs w:val="26"/>
          <w:rtl/>
        </w:rPr>
        <w:t>מאחר ול</w:t>
      </w:r>
      <w:r>
        <w:rPr>
          <w:rFonts w:ascii="David" w:hAnsi="David" w:hint="cs"/>
          <w:sz w:val="26"/>
          <w:szCs w:val="26"/>
          <w:rtl/>
        </w:rPr>
        <w:t xml:space="preserve">מדינת ישראל אין אמנת מס עם </w:t>
      </w:r>
      <w:r w:rsidR="00394034">
        <w:rPr>
          <w:rFonts w:ascii="David" w:hAnsi="David" w:hint="cs"/>
          <w:sz w:val="26"/>
          <w:szCs w:val="26"/>
          <w:rtl/>
        </w:rPr>
        <w:t>איי הבתולה הבריטיים</w:t>
      </w:r>
      <w:r w:rsidR="004C0005">
        <w:rPr>
          <w:rFonts w:ascii="David" w:hAnsi="David" w:hint="cs"/>
          <w:sz w:val="26"/>
          <w:szCs w:val="26"/>
          <w:rtl/>
        </w:rPr>
        <w:t>,</w:t>
      </w:r>
      <w:r>
        <w:rPr>
          <w:rFonts w:ascii="David" w:hAnsi="David" w:hint="cs"/>
          <w:sz w:val="26"/>
          <w:szCs w:val="26"/>
          <w:rtl/>
        </w:rPr>
        <w:t xml:space="preserve"> שיעור ניכוי מס במקור בגין </w:t>
      </w:r>
      <w:r w:rsidR="009A7E02">
        <w:rPr>
          <w:rFonts w:ascii="David" w:hAnsi="David" w:hint="cs"/>
          <w:sz w:val="26"/>
          <w:szCs w:val="26"/>
          <w:rtl/>
        </w:rPr>
        <w:t>ה</w:t>
      </w:r>
      <w:r w:rsidR="00C64578">
        <w:rPr>
          <w:rFonts w:ascii="David" w:hAnsi="David" w:hint="cs"/>
          <w:sz w:val="26"/>
          <w:szCs w:val="26"/>
          <w:rtl/>
        </w:rPr>
        <w:t xml:space="preserve">ריבית המשולמת לחברת האם </w:t>
      </w:r>
      <w:r>
        <w:rPr>
          <w:rFonts w:ascii="David" w:hAnsi="David" w:hint="cs"/>
          <w:sz w:val="26"/>
          <w:szCs w:val="26"/>
          <w:rtl/>
        </w:rPr>
        <w:t xml:space="preserve">הוא השיעור הקבוע </w:t>
      </w:r>
      <w:r w:rsidRPr="0077039C">
        <w:rPr>
          <w:rFonts w:ascii="David" w:hAnsi="David" w:hint="eastAsia"/>
          <w:sz w:val="26"/>
          <w:szCs w:val="26"/>
          <w:rtl/>
        </w:rPr>
        <w:t>ב</w:t>
      </w:r>
      <w:r w:rsidRPr="008B4BC9">
        <w:rPr>
          <w:rFonts w:ascii="David" w:hAnsi="David" w:hint="eastAsia"/>
          <w:sz w:val="26"/>
          <w:szCs w:val="26"/>
          <w:rtl/>
        </w:rPr>
        <w:t>סעיף</w:t>
      </w:r>
      <w:r w:rsidRPr="008B4BC9">
        <w:rPr>
          <w:rFonts w:ascii="David" w:hAnsi="David"/>
          <w:sz w:val="26"/>
          <w:szCs w:val="26"/>
          <w:rtl/>
        </w:rPr>
        <w:t xml:space="preserve"> 126</w:t>
      </w:r>
      <w:r w:rsidRPr="0077039C">
        <w:rPr>
          <w:rFonts w:ascii="David" w:hAnsi="David"/>
          <w:sz w:val="26"/>
          <w:szCs w:val="26"/>
          <w:rtl/>
        </w:rPr>
        <w:t xml:space="preserve"> ל</w:t>
      </w:r>
      <w:r w:rsidRPr="008B4BC9">
        <w:rPr>
          <w:rFonts w:ascii="David" w:hAnsi="David"/>
          <w:sz w:val="26"/>
          <w:szCs w:val="26"/>
          <w:rtl/>
        </w:rPr>
        <w:t xml:space="preserve">פקודת מס הכנסה [נוסח חדש], </w:t>
      </w:r>
      <w:r>
        <w:rPr>
          <w:rFonts w:ascii="David" w:hAnsi="David" w:hint="cs"/>
          <w:sz w:val="26"/>
          <w:szCs w:val="26"/>
          <w:rtl/>
        </w:rPr>
        <w:t>ה</w:t>
      </w:r>
      <w:r w:rsidRPr="008B4BC9">
        <w:rPr>
          <w:rFonts w:ascii="David" w:hAnsi="David"/>
          <w:sz w:val="26"/>
          <w:szCs w:val="26"/>
          <w:rtl/>
        </w:rPr>
        <w:t>תשכ"א-1961</w:t>
      </w:r>
      <w:r>
        <w:rPr>
          <w:rFonts w:ascii="David" w:hAnsi="David" w:hint="cs"/>
          <w:sz w:val="26"/>
          <w:szCs w:val="26"/>
          <w:rtl/>
        </w:rPr>
        <w:t xml:space="preserve"> (להלן </w:t>
      </w:r>
      <w:r>
        <w:rPr>
          <w:rFonts w:ascii="David" w:hAnsi="David"/>
          <w:sz w:val="26"/>
          <w:szCs w:val="26"/>
          <w:rtl/>
        </w:rPr>
        <w:t>–</w:t>
      </w:r>
      <w:r>
        <w:rPr>
          <w:rFonts w:ascii="David" w:hAnsi="David" w:hint="cs"/>
          <w:sz w:val="26"/>
          <w:szCs w:val="26"/>
          <w:rtl/>
        </w:rPr>
        <w:t xml:space="preserve"> "</w:t>
      </w:r>
      <w:r w:rsidRPr="008B4BC9">
        <w:rPr>
          <w:rFonts w:ascii="David" w:hAnsi="David" w:hint="eastAsia"/>
          <w:b/>
          <w:bCs/>
          <w:sz w:val="26"/>
          <w:szCs w:val="26"/>
          <w:rtl/>
        </w:rPr>
        <w:t>הפקודה</w:t>
      </w:r>
      <w:r>
        <w:rPr>
          <w:rFonts w:ascii="David" w:hAnsi="David" w:hint="cs"/>
          <w:sz w:val="26"/>
          <w:szCs w:val="26"/>
          <w:rtl/>
        </w:rPr>
        <w:t xml:space="preserve">"); </w:t>
      </w:r>
      <w:r w:rsidR="00394034">
        <w:rPr>
          <w:rFonts w:ascii="David" w:hAnsi="David" w:hint="cs"/>
          <w:sz w:val="26"/>
          <w:szCs w:val="26"/>
          <w:rtl/>
        </w:rPr>
        <w:t xml:space="preserve">לעומת זאת, </w:t>
      </w:r>
      <w:r>
        <w:rPr>
          <w:rFonts w:ascii="David" w:hAnsi="David" w:hint="cs"/>
          <w:sz w:val="26"/>
          <w:szCs w:val="26"/>
          <w:rtl/>
        </w:rPr>
        <w:t>למדינת ישראל יש אמנת מס עם לוקסמבורג</w:t>
      </w:r>
      <w:r w:rsidR="00394034">
        <w:rPr>
          <w:rFonts w:ascii="David" w:hAnsi="David" w:hint="cs"/>
          <w:sz w:val="26"/>
          <w:szCs w:val="26"/>
          <w:rtl/>
        </w:rPr>
        <w:t>,</w:t>
      </w:r>
      <w:r>
        <w:rPr>
          <w:rFonts w:ascii="David" w:hAnsi="David" w:hint="cs"/>
          <w:sz w:val="26"/>
          <w:szCs w:val="26"/>
          <w:rtl/>
        </w:rPr>
        <w:t xml:space="preserve"> ה</w:t>
      </w:r>
      <w:r w:rsidR="00394034">
        <w:rPr>
          <w:rFonts w:ascii="David" w:hAnsi="David" w:hint="cs"/>
          <w:sz w:val="26"/>
          <w:szCs w:val="26"/>
          <w:rtl/>
        </w:rPr>
        <w:t>קובעת</w:t>
      </w:r>
      <w:r>
        <w:rPr>
          <w:rFonts w:ascii="David" w:hAnsi="David" w:hint="cs"/>
          <w:sz w:val="26"/>
          <w:szCs w:val="26"/>
          <w:rtl/>
        </w:rPr>
        <w:t xml:space="preserve"> ניכוי מס במקור בגין תשלומי ריבית</w:t>
      </w:r>
      <w:r w:rsidR="00394034">
        <w:rPr>
          <w:rFonts w:ascii="David" w:hAnsi="David" w:hint="cs"/>
          <w:sz w:val="26"/>
          <w:szCs w:val="26"/>
          <w:rtl/>
        </w:rPr>
        <w:t xml:space="preserve"> בשיעור</w:t>
      </w:r>
      <w:r>
        <w:rPr>
          <w:rFonts w:ascii="David" w:hAnsi="David" w:hint="cs"/>
          <w:sz w:val="26"/>
          <w:szCs w:val="26"/>
          <w:rtl/>
        </w:rPr>
        <w:t xml:space="preserve"> של 10%. </w:t>
      </w:r>
    </w:p>
    <w:p w:rsidR="00962986" w:rsidRDefault="00D87FAE" w:rsidP="00D87FAE">
      <w:pPr>
        <w:numPr>
          <w:ilvl w:val="0"/>
          <w:numId w:val="4"/>
        </w:numPr>
        <w:spacing w:before="240" w:line="360" w:lineRule="auto"/>
        <w:jc w:val="both"/>
        <w:rPr>
          <w:rFonts w:ascii="David" w:hAnsi="David"/>
          <w:sz w:val="26"/>
          <w:szCs w:val="26"/>
        </w:rPr>
      </w:pPr>
      <w:r>
        <w:rPr>
          <w:rFonts w:ascii="David" w:hAnsi="David" w:hint="cs"/>
          <w:sz w:val="26"/>
          <w:szCs w:val="26"/>
          <w:rtl/>
        </w:rPr>
        <w:t>יצוין כי</w:t>
      </w:r>
      <w:r w:rsidR="00962986">
        <w:rPr>
          <w:rFonts w:ascii="David" w:hAnsi="David" w:hint="cs"/>
          <w:sz w:val="26"/>
          <w:szCs w:val="26"/>
          <w:rtl/>
        </w:rPr>
        <w:t xml:space="preserve"> המערערת לא העבירה לחברת האם תשלומים בגין ריבית וקרן במשך כ-6 שנים, החל מיום 30.6.2009 ועד ליום 7.5.2015, למעט תשלום חד פעמי על סך 30 מיליון ש"ח בשנת 2010. </w:t>
      </w:r>
    </w:p>
    <w:p w:rsidR="00962986" w:rsidRDefault="00962986" w:rsidP="00B750DA">
      <w:pPr>
        <w:numPr>
          <w:ilvl w:val="0"/>
          <w:numId w:val="4"/>
        </w:numPr>
        <w:spacing w:before="240" w:line="360" w:lineRule="auto"/>
        <w:jc w:val="both"/>
        <w:rPr>
          <w:rFonts w:ascii="David" w:hAnsi="David"/>
          <w:sz w:val="26"/>
          <w:szCs w:val="26"/>
        </w:rPr>
      </w:pPr>
      <w:r>
        <w:rPr>
          <w:rFonts w:ascii="David" w:hAnsi="David" w:hint="cs"/>
          <w:sz w:val="26"/>
          <w:szCs w:val="26"/>
          <w:rtl/>
        </w:rPr>
        <w:t>המשיב הוציא שומות למערערת</w:t>
      </w:r>
      <w:r w:rsidRPr="00A93F7E">
        <w:rPr>
          <w:rFonts w:ascii="David" w:hAnsi="David"/>
          <w:sz w:val="26"/>
          <w:szCs w:val="26"/>
          <w:rtl/>
        </w:rPr>
        <w:t>, בהן נקבע, בין היתר, כי</w:t>
      </w:r>
      <w:r>
        <w:rPr>
          <w:rFonts w:ascii="David" w:hAnsi="David" w:hint="cs"/>
          <w:sz w:val="26"/>
          <w:szCs w:val="26"/>
          <w:rtl/>
        </w:rPr>
        <w:t xml:space="preserve"> הצדדים האמיתיים להסכם ההלוואה הם המערערת וחברת האם, ולכן יש לראות את תשלומי הריבית ככאלה ששולמו במישרין לחברת האם. יתרה מכך, המשיב קבע כי אין טעם מסחרי לביצוע </w:t>
      </w:r>
      <w:r>
        <w:rPr>
          <w:rFonts w:ascii="David" w:hAnsi="David" w:hint="cs"/>
          <w:sz w:val="26"/>
          <w:szCs w:val="26"/>
          <w:rtl/>
        </w:rPr>
        <w:lastRenderedPageBreak/>
        <w:t xml:space="preserve">המחאת ההלוואה שנועדה ביסודה לשם הפחתת מס בלתי נאותה. לבסוף, קבע כי יש לראות את התשלום לפירעון ההלוואה בשנת 2015, כתשלום עבור הריבית על ההלוואה, ולא כתשלום קרן כפי שטוענת המערערת. </w:t>
      </w:r>
    </w:p>
    <w:p w:rsidR="00962986" w:rsidRPr="000514B8" w:rsidRDefault="00962986" w:rsidP="00962986">
      <w:pPr>
        <w:spacing w:before="240" w:line="360" w:lineRule="auto"/>
        <w:ind w:left="360"/>
        <w:jc w:val="both"/>
        <w:rPr>
          <w:rFonts w:ascii="David" w:hAnsi="David"/>
          <w:b/>
          <w:bCs/>
          <w:sz w:val="28"/>
          <w:szCs w:val="28"/>
          <w:u w:val="single"/>
          <w:rtl/>
        </w:rPr>
      </w:pPr>
      <w:r w:rsidRPr="000514B8">
        <w:rPr>
          <w:rFonts w:ascii="David" w:hAnsi="David" w:hint="cs"/>
          <w:b/>
          <w:bCs/>
          <w:sz w:val="28"/>
          <w:szCs w:val="28"/>
          <w:u w:val="single"/>
          <w:rtl/>
        </w:rPr>
        <w:t>טענות הצדדים</w:t>
      </w:r>
    </w:p>
    <w:p w:rsidR="00962986" w:rsidRDefault="00962986" w:rsidP="00682B95">
      <w:pPr>
        <w:numPr>
          <w:ilvl w:val="0"/>
          <w:numId w:val="4"/>
        </w:numPr>
        <w:spacing w:before="240" w:line="360" w:lineRule="auto"/>
        <w:jc w:val="both"/>
        <w:rPr>
          <w:rFonts w:ascii="David" w:hAnsi="David"/>
          <w:sz w:val="26"/>
          <w:szCs w:val="26"/>
        </w:rPr>
      </w:pPr>
      <w:r>
        <w:rPr>
          <w:rFonts w:ascii="David" w:hAnsi="David" w:hint="cs"/>
          <w:sz w:val="26"/>
          <w:szCs w:val="26"/>
          <w:rtl/>
        </w:rPr>
        <w:t>המערערת טוענת</w:t>
      </w:r>
      <w:r w:rsidRPr="005A1794">
        <w:rPr>
          <w:rFonts w:ascii="David" w:hAnsi="David" w:hint="cs"/>
          <w:sz w:val="26"/>
          <w:szCs w:val="26"/>
          <w:rtl/>
        </w:rPr>
        <w:t xml:space="preserve"> כי טענתו </w:t>
      </w:r>
      <w:r w:rsidRPr="005A1794">
        <w:rPr>
          <w:rFonts w:ascii="David" w:hAnsi="David" w:hint="cs"/>
          <w:sz w:val="26"/>
          <w:szCs w:val="26"/>
          <w:u w:val="single"/>
          <w:rtl/>
        </w:rPr>
        <w:t>היחידה</w:t>
      </w:r>
      <w:r w:rsidRPr="005A1794">
        <w:rPr>
          <w:rFonts w:ascii="David" w:hAnsi="David" w:hint="cs"/>
          <w:sz w:val="26"/>
          <w:szCs w:val="26"/>
          <w:rtl/>
        </w:rPr>
        <w:t xml:space="preserve"> של המשיב</w:t>
      </w:r>
      <w:r>
        <w:rPr>
          <w:rFonts w:ascii="David" w:hAnsi="David" w:hint="cs"/>
          <w:sz w:val="26"/>
          <w:szCs w:val="26"/>
          <w:rtl/>
        </w:rPr>
        <w:t>, הן מבחינה מהותית והן מבחינה לשונית,</w:t>
      </w:r>
      <w:r w:rsidRPr="005A1794">
        <w:rPr>
          <w:rFonts w:ascii="David" w:hAnsi="David" w:hint="cs"/>
          <w:sz w:val="26"/>
          <w:szCs w:val="26"/>
          <w:rtl/>
        </w:rPr>
        <w:t xml:space="preserve"> הי</w:t>
      </w:r>
      <w:r>
        <w:rPr>
          <w:rFonts w:ascii="David" w:hAnsi="David" w:hint="cs"/>
          <w:sz w:val="26"/>
          <w:szCs w:val="26"/>
          <w:rtl/>
        </w:rPr>
        <w:t>א</w:t>
      </w:r>
      <w:r w:rsidRPr="005A1794">
        <w:rPr>
          <w:rFonts w:ascii="David" w:hAnsi="David" w:hint="cs"/>
          <w:sz w:val="26"/>
          <w:szCs w:val="26"/>
          <w:rtl/>
        </w:rPr>
        <w:t xml:space="preserve"> טענת המלאכותיות</w:t>
      </w:r>
      <w:r>
        <w:rPr>
          <w:rFonts w:ascii="David" w:hAnsi="David" w:hint="cs"/>
          <w:sz w:val="26"/>
          <w:szCs w:val="26"/>
          <w:rtl/>
        </w:rPr>
        <w:t>,</w:t>
      </w:r>
      <w:r w:rsidRPr="005A1794">
        <w:rPr>
          <w:rFonts w:ascii="David" w:hAnsi="David" w:hint="cs"/>
          <w:sz w:val="26"/>
          <w:szCs w:val="26"/>
          <w:rtl/>
        </w:rPr>
        <w:t xml:space="preserve"> שנגזרת מהיעדר טעם מסחרי לביצוע פעולת המחאת ההלוואה. המערערת </w:t>
      </w:r>
      <w:r w:rsidR="00682B95">
        <w:rPr>
          <w:rFonts w:ascii="David" w:hAnsi="David" w:hint="cs"/>
          <w:sz w:val="26"/>
          <w:szCs w:val="26"/>
          <w:rtl/>
        </w:rPr>
        <w:t>מפנה ל</w:t>
      </w:r>
      <w:r w:rsidRPr="005A1794">
        <w:rPr>
          <w:rFonts w:ascii="David" w:hAnsi="David" w:hint="cs"/>
          <w:sz w:val="26"/>
          <w:szCs w:val="26"/>
          <w:rtl/>
        </w:rPr>
        <w:t>טענת המשיב</w:t>
      </w:r>
      <w:r>
        <w:rPr>
          <w:rFonts w:ascii="David" w:hAnsi="David" w:hint="cs"/>
          <w:sz w:val="26"/>
          <w:szCs w:val="26"/>
          <w:rtl/>
        </w:rPr>
        <w:t xml:space="preserve"> בהודעה המפרשת את נימוקי השומה</w:t>
      </w:r>
      <w:r w:rsidRPr="005A1794">
        <w:rPr>
          <w:rFonts w:ascii="David" w:hAnsi="David" w:hint="cs"/>
          <w:sz w:val="26"/>
          <w:szCs w:val="26"/>
          <w:rtl/>
        </w:rPr>
        <w:t xml:space="preserve"> </w:t>
      </w:r>
      <w:r w:rsidR="00B750DA">
        <w:rPr>
          <w:rFonts w:ascii="David" w:hAnsi="David" w:hint="cs"/>
          <w:sz w:val="26"/>
          <w:szCs w:val="26"/>
          <w:rtl/>
        </w:rPr>
        <w:t>לפיה</w:t>
      </w:r>
      <w:r w:rsidRPr="005A1794">
        <w:rPr>
          <w:rFonts w:ascii="David" w:hAnsi="David" w:hint="cs"/>
          <w:sz w:val="26"/>
          <w:szCs w:val="26"/>
          <w:rtl/>
        </w:rPr>
        <w:t>:</w:t>
      </w:r>
      <w:r w:rsidRPr="005A1794">
        <w:rPr>
          <w:rFonts w:ascii="David" w:hAnsi="David" w:hint="cs"/>
          <w:b/>
          <w:bCs/>
          <w:sz w:val="26"/>
          <w:szCs w:val="26"/>
          <w:rtl/>
        </w:rPr>
        <w:t xml:space="preserve"> "המערערת לא הניחה לפני המשיב את התשתית הראייתית הנדרשת להוכחת טענתה כי קיימת מטרה מסחרית שעמדה ביסוד ביצוע המחאת ההלוואה"</w:t>
      </w:r>
      <w:r w:rsidR="00682B95">
        <w:rPr>
          <w:rFonts w:ascii="David" w:hAnsi="David" w:hint="cs"/>
          <w:sz w:val="26"/>
          <w:szCs w:val="26"/>
          <w:rtl/>
        </w:rPr>
        <w:t xml:space="preserve"> (בסעיף 10)</w:t>
      </w:r>
      <w:r w:rsidRPr="005A1794">
        <w:rPr>
          <w:rFonts w:ascii="David" w:hAnsi="David" w:hint="cs"/>
          <w:sz w:val="26"/>
          <w:szCs w:val="26"/>
          <w:rtl/>
        </w:rPr>
        <w:t xml:space="preserve">. </w:t>
      </w:r>
      <w:r>
        <w:rPr>
          <w:rFonts w:ascii="David" w:hAnsi="David" w:hint="cs"/>
          <w:sz w:val="26"/>
          <w:szCs w:val="26"/>
          <w:rtl/>
        </w:rPr>
        <w:t>ב</w:t>
      </w:r>
      <w:r w:rsidRPr="005A1794">
        <w:rPr>
          <w:rFonts w:ascii="David" w:hAnsi="David" w:hint="cs"/>
          <w:sz w:val="26"/>
          <w:szCs w:val="26"/>
          <w:rtl/>
        </w:rPr>
        <w:t>עצם ההתעלמות מפעולת ההמחאה ובניית עסקה חדשה, בה מוקצים תשלומי הריבית לחברת האם, עושה המשיב שימוש ב-"סמכות הורסת" ו-"סמכות בונה",</w:t>
      </w:r>
      <w:r>
        <w:rPr>
          <w:rFonts w:ascii="David" w:hAnsi="David" w:hint="cs"/>
          <w:sz w:val="26"/>
          <w:szCs w:val="26"/>
          <w:rtl/>
        </w:rPr>
        <w:t xml:space="preserve"> מכוח </w:t>
      </w:r>
      <w:r w:rsidRPr="005A1794">
        <w:rPr>
          <w:rFonts w:ascii="David" w:hAnsi="David" w:hint="cs"/>
          <w:sz w:val="26"/>
          <w:szCs w:val="26"/>
          <w:rtl/>
        </w:rPr>
        <w:t xml:space="preserve">סעיף 86 </w:t>
      </w:r>
      <w:r>
        <w:rPr>
          <w:rFonts w:ascii="David" w:hAnsi="David" w:hint="cs"/>
          <w:sz w:val="26"/>
          <w:szCs w:val="26"/>
          <w:rtl/>
        </w:rPr>
        <w:t>לפקודה</w:t>
      </w:r>
      <w:r w:rsidRPr="005A1794">
        <w:rPr>
          <w:rFonts w:ascii="David" w:hAnsi="David" w:hint="cs"/>
          <w:sz w:val="26"/>
          <w:szCs w:val="26"/>
          <w:rtl/>
        </w:rPr>
        <w:t>.</w:t>
      </w:r>
    </w:p>
    <w:p w:rsidR="00962986" w:rsidRDefault="00962986" w:rsidP="00B750DA">
      <w:pPr>
        <w:spacing w:before="240" w:line="360" w:lineRule="auto"/>
        <w:ind w:left="360"/>
        <w:jc w:val="both"/>
        <w:rPr>
          <w:rFonts w:ascii="David" w:hAnsi="David"/>
          <w:sz w:val="26"/>
          <w:szCs w:val="26"/>
          <w:rtl/>
        </w:rPr>
      </w:pPr>
      <w:r>
        <w:rPr>
          <w:rFonts w:ascii="David" w:hAnsi="David" w:hint="cs"/>
          <w:sz w:val="26"/>
          <w:szCs w:val="26"/>
          <w:rtl/>
        </w:rPr>
        <w:t>המשיב אף ערך "מקצה שיפורים" לטענותיו במסגרת ההודעה המפרשת את נימוקי השומה</w:t>
      </w:r>
      <w:r w:rsidRPr="005A1794">
        <w:rPr>
          <w:rFonts w:ascii="David" w:hAnsi="David" w:hint="cs"/>
          <w:sz w:val="26"/>
          <w:szCs w:val="26"/>
          <w:rtl/>
        </w:rPr>
        <w:t xml:space="preserve">. </w:t>
      </w:r>
    </w:p>
    <w:p w:rsidR="00962986" w:rsidRPr="005A1794" w:rsidRDefault="00962986" w:rsidP="00962986">
      <w:pPr>
        <w:spacing w:before="240" w:line="360" w:lineRule="auto"/>
        <w:ind w:left="360"/>
        <w:jc w:val="both"/>
        <w:rPr>
          <w:rFonts w:ascii="David" w:hAnsi="David"/>
          <w:sz w:val="26"/>
          <w:szCs w:val="26"/>
        </w:rPr>
      </w:pPr>
      <w:r>
        <w:rPr>
          <w:rFonts w:ascii="David" w:hAnsi="David" w:hint="cs"/>
          <w:sz w:val="26"/>
          <w:szCs w:val="26"/>
          <w:rtl/>
        </w:rPr>
        <w:t>עוד</w:t>
      </w:r>
      <w:r w:rsidRPr="005A1794">
        <w:rPr>
          <w:rFonts w:ascii="David" w:hAnsi="David" w:hint="cs"/>
          <w:sz w:val="26"/>
          <w:szCs w:val="26"/>
          <w:rtl/>
        </w:rPr>
        <w:t xml:space="preserve"> טוענת המערערת כי טענתו החלופית של המשיב, לסיווג שונה של העסקה בה הכנסות הריבית מיוחסות לחברת האם, היא תולדה של טענת המלאכותיות ו</w:t>
      </w:r>
      <w:r>
        <w:rPr>
          <w:rFonts w:ascii="David" w:hAnsi="David" w:hint="cs"/>
          <w:sz w:val="26"/>
          <w:szCs w:val="26"/>
          <w:rtl/>
        </w:rPr>
        <w:t>היא</w:t>
      </w:r>
      <w:r w:rsidRPr="005A1794">
        <w:rPr>
          <w:rFonts w:ascii="David" w:hAnsi="David" w:hint="cs"/>
          <w:sz w:val="26"/>
          <w:szCs w:val="26"/>
          <w:rtl/>
        </w:rPr>
        <w:t xml:space="preserve"> חלק בלתי נפרד ממנה.</w:t>
      </w:r>
    </w:p>
    <w:p w:rsidR="00962986" w:rsidRDefault="00962986" w:rsidP="00682B95">
      <w:pPr>
        <w:numPr>
          <w:ilvl w:val="0"/>
          <w:numId w:val="4"/>
        </w:numPr>
        <w:spacing w:before="240" w:line="360" w:lineRule="auto"/>
        <w:jc w:val="both"/>
        <w:rPr>
          <w:rFonts w:ascii="David" w:hAnsi="David"/>
          <w:sz w:val="26"/>
          <w:szCs w:val="26"/>
        </w:rPr>
      </w:pPr>
      <w:r w:rsidRPr="005A1794">
        <w:rPr>
          <w:rFonts w:ascii="David" w:hAnsi="David" w:hint="cs"/>
          <w:sz w:val="26"/>
          <w:szCs w:val="26"/>
          <w:rtl/>
        </w:rPr>
        <w:t xml:space="preserve">המשיב מתנגד לבקשה. לטענתו, </w:t>
      </w:r>
      <w:r>
        <w:rPr>
          <w:rFonts w:ascii="David" w:hAnsi="David" w:hint="cs"/>
          <w:sz w:val="26"/>
          <w:szCs w:val="26"/>
          <w:rtl/>
        </w:rPr>
        <w:t xml:space="preserve">הוא </w:t>
      </w:r>
      <w:r w:rsidRPr="005A1794">
        <w:rPr>
          <w:rFonts w:ascii="David" w:hAnsi="David" w:hint="cs"/>
          <w:sz w:val="26"/>
          <w:szCs w:val="26"/>
          <w:rtl/>
        </w:rPr>
        <w:t>עשה שימוש בכלי הסיווג השונה העו</w:t>
      </w:r>
      <w:r w:rsidR="00682B95">
        <w:rPr>
          <w:rFonts w:ascii="David" w:hAnsi="David" w:hint="cs"/>
          <w:sz w:val="26"/>
          <w:szCs w:val="26"/>
          <w:rtl/>
        </w:rPr>
        <w:t>מד לרשותו, וטען רק כטענה חלופית</w:t>
      </w:r>
      <w:r w:rsidRPr="005A1794">
        <w:rPr>
          <w:rFonts w:ascii="David" w:hAnsi="David" w:hint="cs"/>
          <w:sz w:val="26"/>
          <w:szCs w:val="26"/>
          <w:rtl/>
        </w:rPr>
        <w:t xml:space="preserve"> וכסמכות שיורית, למלאכותיות העסקה. </w:t>
      </w:r>
    </w:p>
    <w:p w:rsidR="00962986" w:rsidRDefault="00962986" w:rsidP="00EF55C1">
      <w:pPr>
        <w:spacing w:before="240" w:line="360" w:lineRule="auto"/>
        <w:ind w:left="360"/>
        <w:jc w:val="both"/>
        <w:rPr>
          <w:rFonts w:ascii="David" w:hAnsi="David"/>
          <w:sz w:val="26"/>
          <w:szCs w:val="26"/>
          <w:rtl/>
        </w:rPr>
      </w:pPr>
      <w:r w:rsidRPr="005A1794">
        <w:rPr>
          <w:rFonts w:ascii="David" w:hAnsi="David" w:hint="cs"/>
          <w:sz w:val="26"/>
          <w:szCs w:val="26"/>
          <w:rtl/>
        </w:rPr>
        <w:t>לדידו, מי שבפועל נתנה את כספי ההלוואה היא חברת האם והיא זו שמקבלת אותם בחזרה</w:t>
      </w:r>
      <w:r>
        <w:rPr>
          <w:rFonts w:ascii="David" w:hAnsi="David" w:hint="cs"/>
          <w:sz w:val="26"/>
          <w:szCs w:val="26"/>
          <w:rtl/>
        </w:rPr>
        <w:t>.</w:t>
      </w:r>
      <w:r w:rsidRPr="005A1794">
        <w:rPr>
          <w:rFonts w:ascii="David" w:hAnsi="David" w:hint="cs"/>
          <w:sz w:val="26"/>
          <w:szCs w:val="26"/>
          <w:rtl/>
        </w:rPr>
        <w:t xml:space="preserve"> לפיכך</w:t>
      </w:r>
      <w:r>
        <w:rPr>
          <w:rFonts w:ascii="David" w:hAnsi="David" w:hint="cs"/>
          <w:sz w:val="26"/>
          <w:szCs w:val="26"/>
          <w:rtl/>
        </w:rPr>
        <w:t>, המשיב</w:t>
      </w:r>
      <w:r w:rsidRPr="005A1794">
        <w:rPr>
          <w:rFonts w:ascii="David" w:hAnsi="David" w:hint="cs"/>
          <w:sz w:val="26"/>
          <w:szCs w:val="26"/>
          <w:rtl/>
        </w:rPr>
        <w:t xml:space="preserve"> </w:t>
      </w:r>
      <w:r w:rsidR="00EF55C1">
        <w:rPr>
          <w:rFonts w:ascii="David" w:hAnsi="David" w:hint="cs"/>
          <w:sz w:val="26"/>
          <w:szCs w:val="26"/>
          <w:rtl/>
        </w:rPr>
        <w:t>לא</w:t>
      </w:r>
      <w:r w:rsidRPr="005A1794">
        <w:rPr>
          <w:rFonts w:ascii="David" w:hAnsi="David" w:hint="cs"/>
          <w:sz w:val="26"/>
          <w:szCs w:val="26"/>
          <w:rtl/>
        </w:rPr>
        <w:t xml:space="preserve"> קיבל את המצג העובדתי של הסכם ההמחאה ו</w:t>
      </w:r>
      <w:r>
        <w:rPr>
          <w:rFonts w:ascii="David" w:hAnsi="David" w:hint="cs"/>
          <w:sz w:val="26"/>
          <w:szCs w:val="26"/>
          <w:rtl/>
        </w:rPr>
        <w:t xml:space="preserve">הוא </w:t>
      </w:r>
      <w:r w:rsidRPr="005A1794">
        <w:rPr>
          <w:rFonts w:ascii="David" w:hAnsi="David" w:hint="cs"/>
          <w:sz w:val="26"/>
          <w:szCs w:val="26"/>
          <w:rtl/>
        </w:rPr>
        <w:t xml:space="preserve">סיווג באופן שונה את העסקה מכפי שהיא מוצגת בידי המערערת, בכך שקבע את הצדדים הנכונים לעסקת ההלוואה. סיווג העסקה בוצע בהתאם למהותה הכלכלית ולמכלול העובדות שהוצגו בפניו. </w:t>
      </w:r>
    </w:p>
    <w:p w:rsidR="00962986" w:rsidRDefault="00962986" w:rsidP="00EF55C1">
      <w:pPr>
        <w:spacing w:before="240" w:line="360" w:lineRule="auto"/>
        <w:ind w:left="360"/>
        <w:jc w:val="both"/>
        <w:rPr>
          <w:rFonts w:ascii="David" w:hAnsi="David"/>
          <w:sz w:val="26"/>
          <w:szCs w:val="26"/>
          <w:rtl/>
        </w:rPr>
      </w:pPr>
      <w:r w:rsidRPr="005A1794">
        <w:rPr>
          <w:rFonts w:ascii="David" w:hAnsi="David" w:hint="cs"/>
          <w:sz w:val="26"/>
          <w:szCs w:val="26"/>
          <w:rtl/>
        </w:rPr>
        <w:t>טענה נוספת שמעלה המשיב היא ש</w:t>
      </w:r>
      <w:r>
        <w:rPr>
          <w:rFonts w:ascii="David" w:hAnsi="David" w:hint="cs"/>
          <w:sz w:val="26"/>
          <w:szCs w:val="26"/>
          <w:rtl/>
        </w:rPr>
        <w:t xml:space="preserve">על </w:t>
      </w:r>
      <w:r w:rsidRPr="005A1794">
        <w:rPr>
          <w:rFonts w:ascii="David" w:hAnsi="David" w:hint="cs"/>
          <w:sz w:val="26"/>
          <w:szCs w:val="26"/>
          <w:rtl/>
        </w:rPr>
        <w:t xml:space="preserve">נטל ההוכחה להישאר </w:t>
      </w:r>
      <w:r w:rsidR="00EF55C1">
        <w:rPr>
          <w:rFonts w:ascii="David" w:hAnsi="David" w:hint="cs"/>
          <w:sz w:val="26"/>
          <w:szCs w:val="26"/>
          <w:rtl/>
        </w:rPr>
        <w:t xml:space="preserve">על </w:t>
      </w:r>
      <w:r w:rsidRPr="005A1794">
        <w:rPr>
          <w:rFonts w:ascii="David" w:hAnsi="David" w:hint="cs"/>
          <w:sz w:val="26"/>
          <w:szCs w:val="26"/>
          <w:rtl/>
        </w:rPr>
        <w:t xml:space="preserve">המערערת היות </w:t>
      </w:r>
      <w:r w:rsidR="00EF55C1">
        <w:rPr>
          <w:rFonts w:ascii="David" w:hAnsi="David" w:hint="cs"/>
          <w:sz w:val="26"/>
          <w:szCs w:val="26"/>
          <w:rtl/>
        </w:rPr>
        <w:t>ש</w:t>
      </w:r>
      <w:r w:rsidR="00367817">
        <w:rPr>
          <w:rFonts w:ascii="David" w:hAnsi="David" w:hint="cs"/>
          <w:sz w:val="26"/>
          <w:szCs w:val="26"/>
          <w:rtl/>
        </w:rPr>
        <w:t>מלוא הפרטים ביחס ל</w:t>
      </w:r>
      <w:r w:rsidRPr="005A1794">
        <w:rPr>
          <w:rFonts w:ascii="David" w:hAnsi="David" w:hint="cs"/>
          <w:sz w:val="26"/>
          <w:szCs w:val="26"/>
          <w:rtl/>
        </w:rPr>
        <w:t xml:space="preserve">הלוואה </w:t>
      </w:r>
      <w:r>
        <w:rPr>
          <w:rFonts w:ascii="David" w:hAnsi="David" w:hint="cs"/>
          <w:sz w:val="26"/>
          <w:szCs w:val="26"/>
          <w:rtl/>
        </w:rPr>
        <w:t>והמחאת החוב</w:t>
      </w:r>
      <w:r w:rsidRPr="005A1794">
        <w:rPr>
          <w:rFonts w:ascii="David" w:hAnsi="David" w:hint="cs"/>
          <w:sz w:val="26"/>
          <w:szCs w:val="26"/>
          <w:rtl/>
        </w:rPr>
        <w:t xml:space="preserve"> מצויים בידי המערערת ולא בידיו. טענה זו מתחזקת לאור טיעוניה הרבים של המערערת בהודעה המפרשת את נימוקי הערעור אשר בכוונתם להצדיק את הטעם המסחרי שביסודו. משכך, זו תהיה התוצאה הצודקת בבחינת מדיניות משפטית נכונה. </w:t>
      </w:r>
    </w:p>
    <w:p w:rsidR="00962986" w:rsidRDefault="00EF55C1" w:rsidP="00EF55C1">
      <w:pPr>
        <w:spacing w:before="240" w:line="360" w:lineRule="auto"/>
        <w:ind w:left="360"/>
        <w:jc w:val="both"/>
        <w:rPr>
          <w:rFonts w:ascii="David" w:hAnsi="David"/>
          <w:sz w:val="26"/>
          <w:szCs w:val="26"/>
          <w:rtl/>
        </w:rPr>
      </w:pPr>
      <w:r>
        <w:rPr>
          <w:rFonts w:ascii="David" w:hAnsi="David" w:hint="cs"/>
          <w:sz w:val="26"/>
          <w:szCs w:val="26"/>
          <w:rtl/>
        </w:rPr>
        <w:lastRenderedPageBreak/>
        <w:t xml:space="preserve">עוד טוען </w:t>
      </w:r>
      <w:r w:rsidR="00962986" w:rsidRPr="005A1794">
        <w:rPr>
          <w:rFonts w:ascii="David" w:hAnsi="David" w:hint="cs"/>
          <w:sz w:val="26"/>
          <w:szCs w:val="26"/>
          <w:rtl/>
        </w:rPr>
        <w:t>המשיב</w:t>
      </w:r>
      <w:r w:rsidR="00962986">
        <w:rPr>
          <w:rFonts w:ascii="David" w:hAnsi="David" w:hint="cs"/>
          <w:sz w:val="26"/>
          <w:szCs w:val="26"/>
          <w:rtl/>
        </w:rPr>
        <w:t xml:space="preserve"> כי עסקינן</w:t>
      </w:r>
      <w:r w:rsidR="00962986" w:rsidRPr="005A1794">
        <w:rPr>
          <w:rFonts w:ascii="David" w:hAnsi="David" w:hint="cs"/>
          <w:sz w:val="26"/>
          <w:szCs w:val="26"/>
          <w:rtl/>
        </w:rPr>
        <w:t xml:space="preserve"> בסוגיה לבר-פנקסית</w:t>
      </w:r>
      <w:r>
        <w:rPr>
          <w:rFonts w:ascii="David" w:hAnsi="David" w:hint="cs"/>
          <w:sz w:val="26"/>
          <w:szCs w:val="26"/>
          <w:rtl/>
        </w:rPr>
        <w:t>,</w:t>
      </w:r>
      <w:r w:rsidR="00962986" w:rsidRPr="005A1794">
        <w:rPr>
          <w:rFonts w:ascii="David" w:hAnsi="David" w:hint="cs"/>
          <w:sz w:val="26"/>
          <w:szCs w:val="26"/>
          <w:rtl/>
        </w:rPr>
        <w:t xml:space="preserve"> שכן התשובה למחלוקת אינה מצויה בספרי המערערת</w:t>
      </w:r>
      <w:r>
        <w:rPr>
          <w:rFonts w:ascii="David" w:hAnsi="David" w:hint="cs"/>
          <w:sz w:val="26"/>
          <w:szCs w:val="26"/>
          <w:rtl/>
        </w:rPr>
        <w:t>,</w:t>
      </w:r>
      <w:r w:rsidR="00962986" w:rsidRPr="005A1794">
        <w:rPr>
          <w:rFonts w:ascii="David" w:hAnsi="David" w:hint="cs"/>
          <w:sz w:val="26"/>
          <w:szCs w:val="26"/>
          <w:rtl/>
        </w:rPr>
        <w:t xml:space="preserve"> ו</w:t>
      </w:r>
      <w:r>
        <w:rPr>
          <w:rFonts w:ascii="David" w:hAnsi="David" w:hint="cs"/>
          <w:sz w:val="26"/>
          <w:szCs w:val="26"/>
          <w:rtl/>
        </w:rPr>
        <w:t xml:space="preserve">לכן </w:t>
      </w:r>
      <w:r w:rsidR="00962986" w:rsidRPr="005A1794">
        <w:rPr>
          <w:rFonts w:ascii="David" w:hAnsi="David" w:hint="cs"/>
          <w:sz w:val="26"/>
          <w:szCs w:val="26"/>
          <w:rtl/>
        </w:rPr>
        <w:t>גם מטעם זה אין מקום להפוך את סדרי הבאת הראיות ונטל</w:t>
      </w:r>
      <w:r>
        <w:rPr>
          <w:rFonts w:ascii="David" w:hAnsi="David" w:hint="cs"/>
          <w:sz w:val="26"/>
          <w:szCs w:val="26"/>
          <w:rtl/>
        </w:rPr>
        <w:t>י</w:t>
      </w:r>
      <w:r w:rsidR="00962986" w:rsidRPr="005A1794">
        <w:rPr>
          <w:rFonts w:ascii="David" w:hAnsi="David" w:hint="cs"/>
          <w:sz w:val="26"/>
          <w:szCs w:val="26"/>
          <w:rtl/>
        </w:rPr>
        <w:t xml:space="preserve"> השכנוע. </w:t>
      </w:r>
    </w:p>
    <w:p w:rsidR="00962986" w:rsidRPr="005A1794" w:rsidRDefault="00962986" w:rsidP="00962986">
      <w:pPr>
        <w:spacing w:before="240" w:line="360" w:lineRule="auto"/>
        <w:ind w:left="360"/>
        <w:jc w:val="both"/>
        <w:rPr>
          <w:rFonts w:ascii="David" w:hAnsi="David"/>
          <w:sz w:val="26"/>
          <w:szCs w:val="26"/>
        </w:rPr>
      </w:pPr>
      <w:r w:rsidRPr="005A1794">
        <w:rPr>
          <w:rFonts w:ascii="David" w:hAnsi="David" w:hint="cs"/>
          <w:sz w:val="26"/>
          <w:szCs w:val="26"/>
          <w:rtl/>
        </w:rPr>
        <w:t>לבסוף טוען המשיב כי לאור מחלוקות נוספות המצויות בין הצדדים, על המערערת להתחיל בהבאת ראיותיה ביח</w:t>
      </w:r>
      <w:r>
        <w:rPr>
          <w:rFonts w:ascii="David" w:hAnsi="David" w:hint="cs"/>
          <w:sz w:val="26"/>
          <w:szCs w:val="26"/>
          <w:rtl/>
        </w:rPr>
        <w:t>ס</w:t>
      </w:r>
      <w:r w:rsidRPr="005A1794">
        <w:rPr>
          <w:rFonts w:ascii="David" w:hAnsi="David" w:hint="cs"/>
          <w:sz w:val="26"/>
          <w:szCs w:val="26"/>
          <w:rtl/>
        </w:rPr>
        <w:t xml:space="preserve"> למכלול המחלוקות שבין הצדדים. </w:t>
      </w:r>
    </w:p>
    <w:p w:rsidR="00962986" w:rsidRPr="000514B8" w:rsidRDefault="00962986" w:rsidP="00962986">
      <w:pPr>
        <w:spacing w:before="240" w:line="360" w:lineRule="auto"/>
        <w:ind w:left="360"/>
        <w:jc w:val="both"/>
        <w:rPr>
          <w:rFonts w:ascii="David" w:hAnsi="David"/>
          <w:b/>
          <w:bCs/>
          <w:sz w:val="28"/>
          <w:szCs w:val="28"/>
          <w:u w:val="single"/>
        </w:rPr>
      </w:pPr>
      <w:r w:rsidRPr="000514B8">
        <w:rPr>
          <w:rFonts w:ascii="David" w:hAnsi="David" w:hint="cs"/>
          <w:b/>
          <w:bCs/>
          <w:sz w:val="28"/>
          <w:szCs w:val="28"/>
          <w:u w:val="single"/>
          <w:rtl/>
        </w:rPr>
        <w:t>דיון והכרעה</w:t>
      </w:r>
    </w:p>
    <w:p w:rsidR="00962986" w:rsidRDefault="00962986" w:rsidP="00962986">
      <w:pPr>
        <w:numPr>
          <w:ilvl w:val="0"/>
          <w:numId w:val="4"/>
        </w:numPr>
        <w:spacing w:before="240" w:line="360" w:lineRule="auto"/>
        <w:jc w:val="both"/>
        <w:rPr>
          <w:rFonts w:ascii="David" w:hAnsi="David"/>
          <w:sz w:val="26"/>
          <w:szCs w:val="26"/>
        </w:rPr>
      </w:pPr>
      <w:r>
        <w:rPr>
          <w:rFonts w:ascii="David" w:hAnsi="David"/>
          <w:sz w:val="26"/>
          <w:szCs w:val="26"/>
          <w:rtl/>
        </w:rPr>
        <w:t xml:space="preserve">על ההבחנה </w:t>
      </w:r>
      <w:r>
        <w:rPr>
          <w:rFonts w:ascii="David" w:hAnsi="David" w:hint="cs"/>
          <w:sz w:val="26"/>
          <w:szCs w:val="26"/>
          <w:rtl/>
        </w:rPr>
        <w:t>ש</w:t>
      </w:r>
      <w:r>
        <w:rPr>
          <w:rFonts w:ascii="David" w:hAnsi="David"/>
          <w:sz w:val="26"/>
          <w:szCs w:val="26"/>
          <w:rtl/>
        </w:rPr>
        <w:t xml:space="preserve">בין טענה לסיווג שונה </w:t>
      </w:r>
      <w:r>
        <w:rPr>
          <w:rFonts w:ascii="David" w:hAnsi="David" w:hint="cs"/>
          <w:sz w:val="26"/>
          <w:szCs w:val="26"/>
          <w:rtl/>
        </w:rPr>
        <w:t>ו</w:t>
      </w:r>
      <w:r>
        <w:rPr>
          <w:rFonts w:ascii="David" w:hAnsi="David"/>
          <w:sz w:val="26"/>
          <w:szCs w:val="26"/>
          <w:rtl/>
        </w:rPr>
        <w:t xml:space="preserve">בין טענה לעסקה מלאכותית (או סיווג מחדש) עמדתי ב-ע"מ (מחוזי ת"א) 17419-02-18 </w:t>
      </w:r>
      <w:r>
        <w:rPr>
          <w:rFonts w:ascii="David" w:hAnsi="David"/>
          <w:b/>
          <w:bCs/>
          <w:sz w:val="26"/>
          <w:szCs w:val="26"/>
          <w:rtl/>
        </w:rPr>
        <w:t>ברודקום ברודבנד אקסס בע"מ נ' פקיד שומה גוש דן</w:t>
      </w:r>
      <w:r>
        <w:rPr>
          <w:rFonts w:ascii="David" w:hAnsi="David"/>
          <w:sz w:val="26"/>
          <w:szCs w:val="26"/>
          <w:rtl/>
        </w:rPr>
        <w:t xml:space="preserve">, פס' 18 – 19 (20.2.2019) (בר"ע על ההחלטה נדחתה בגדרי רע"א 2454/19 </w:t>
      </w:r>
      <w:r>
        <w:rPr>
          <w:rFonts w:ascii="David" w:hAnsi="David"/>
          <w:b/>
          <w:bCs/>
          <w:sz w:val="26"/>
          <w:szCs w:val="26"/>
          <w:rtl/>
        </w:rPr>
        <w:t>ברודקום ברודבנד אקסס בע"מ נ' פקיד שומה גוש דן</w:t>
      </w:r>
      <w:r>
        <w:rPr>
          <w:rFonts w:ascii="David" w:hAnsi="David"/>
          <w:sz w:val="26"/>
          <w:szCs w:val="26"/>
          <w:rtl/>
        </w:rPr>
        <w:t xml:space="preserve"> (28.8.2019)):</w:t>
      </w:r>
    </w:p>
    <w:p w:rsidR="00962986" w:rsidRDefault="00962986" w:rsidP="00962986">
      <w:pPr>
        <w:spacing w:before="240" w:line="360" w:lineRule="auto"/>
        <w:ind w:left="794" w:right="426"/>
        <w:jc w:val="both"/>
        <w:rPr>
          <w:rFonts w:ascii="David" w:hAnsi="David"/>
          <w:sz w:val="26"/>
          <w:szCs w:val="26"/>
          <w:rtl/>
        </w:rPr>
      </w:pPr>
      <w:r w:rsidRPr="000976F1">
        <w:rPr>
          <w:rFonts w:ascii="David" w:hAnsi="David"/>
          <w:b/>
          <w:bCs/>
          <w:sz w:val="26"/>
          <w:szCs w:val="26"/>
          <w:rtl/>
        </w:rPr>
        <w:t>"אמור</w:t>
      </w:r>
      <w:r>
        <w:rPr>
          <w:rFonts w:ascii="David" w:hAnsi="David"/>
          <w:b/>
          <w:bCs/>
          <w:sz w:val="26"/>
          <w:szCs w:val="26"/>
          <w:rtl/>
        </w:rPr>
        <w:t xml:space="preserve"> מעתה, כאשר פקיד השומה מתערב במצב העובדתי, כפי שהוצג על ידי הנישום, משום שהוא משקיף באופן שונה על התרחשות העסקה בעולם המציאות, אין הוא מפעיל את הנורמה האנטי תכנונית המיוחדת שבסעיף 86 לפקודה ואין הוא מסווג את העסקה מחדש אלא אך טוען לסיווג שונה שלה. התערבות בעובדות, תוך שינוי תוכן והיקף העסקה כפי שהוצגה על ידי הנישום, אין פירושה כי בעשותו כן משתמש פקיד השומה בהכרח בסמכות ההתעלמות שלו מכוח סעיף 86 לפקודה. לא כל 'התעלמות' מעסקה או שינוי בעובדותיה משמעותם שימוש בכלי המיוחד של טענת מלאכותיות תוך העברת הנטל לכתפי פקיד השומה, אלא רק התעלמות מעסקה הנעשית בעולם המס, לאחר שהתברר כי לא ניתן להתעלם ממנה בעולם המעשה. אין כל מניעה כי פקיד השומה יתערב בעובדות העסקה גם במסגרת סיווגה באופן שונה ואין בהתעלמות מהמצג העובדתי של הנישום כדי ללמד בהכרח על שימוש בכלי המלאכותיות. </w:t>
      </w:r>
      <w:r>
        <w:rPr>
          <w:rFonts w:ascii="David" w:hAnsi="David"/>
          <w:b/>
          <w:bCs/>
          <w:sz w:val="26"/>
          <w:szCs w:val="26"/>
          <w:u w:val="single"/>
          <w:rtl/>
        </w:rPr>
        <w:t>אבן הבוחן לטעמי היא היכן נעשה השינוי המדובר: אם בעולם המעשה, עניין לנו בשינוי סיווג העסקה. אם בעולם המס, עניין לנו בטענת מלאכותיות ובסיווג העסקה מחדש</w:t>
      </w:r>
      <w:r>
        <w:rPr>
          <w:rFonts w:ascii="David" w:hAnsi="David"/>
          <w:b/>
          <w:bCs/>
          <w:sz w:val="26"/>
          <w:szCs w:val="26"/>
          <w:rtl/>
        </w:rPr>
        <w:t xml:space="preserve">. מילים אחרות, אבן הבוחן לאבחנה בין טענת מלאכותיות ('סיווג מחדש') לטענת 'סיווג שונה' אינה עצם ההתעלמות מהעסקה, הריסתה ובנייתה מחדש, אלא היכן נעשים הדברים: </w:t>
      </w:r>
      <w:r>
        <w:rPr>
          <w:rFonts w:ascii="David" w:hAnsi="David"/>
          <w:b/>
          <w:bCs/>
          <w:sz w:val="26"/>
          <w:szCs w:val="26"/>
          <w:u w:val="single"/>
          <w:rtl/>
        </w:rPr>
        <w:t xml:space="preserve">אם העסקה נבנית מחדש בעולם המציאות, שכן פקיד השומה בדעה שהצגת עובדות העסקה בידי הנישום לוקה בחסר או שונה מכפי שאירעו הדברים בפועל, למשל, לעניין היקף ותוכן העסקה או זהות הצדדים לה, לפנינו שימוש בכלי של 'סיווג שונה' של העסקה וסיווג זה אינו מעביר את </w:t>
      </w:r>
      <w:r>
        <w:rPr>
          <w:rFonts w:ascii="David" w:hAnsi="David"/>
          <w:b/>
          <w:bCs/>
          <w:sz w:val="26"/>
          <w:szCs w:val="26"/>
          <w:u w:val="single"/>
          <w:rtl/>
        </w:rPr>
        <w:lastRenderedPageBreak/>
        <w:t>נטל ההוכחה לכתפי פקיד השומה</w:t>
      </w:r>
      <w:r>
        <w:rPr>
          <w:rFonts w:ascii="David" w:hAnsi="David"/>
          <w:b/>
          <w:bCs/>
          <w:sz w:val="26"/>
          <w:szCs w:val="26"/>
          <w:rtl/>
        </w:rPr>
        <w:t>. לעומת זאת, אם העסקה נבנית מחדש, כולה או חלקה, רק בעולם המיוחד של המס, משום שבעולם המעשה פקיד השומה מסכים לכך שהעסקה התרחשה בפועל כפי שהוצגה לו על ידי הנישום, רק אז לפנינו שימוש בכלי השיורי של טענת המלאכותיות ורק אז ראוי כי יעבור נטל ההוכחה לכתפי פקיד השומה</w:t>
      </w:r>
      <w:r>
        <w:rPr>
          <w:rFonts w:ascii="David" w:hAnsi="David"/>
          <w:sz w:val="26"/>
          <w:szCs w:val="26"/>
          <w:rtl/>
        </w:rPr>
        <w:t>" [כל ההדגשות בהחלטה זו אינן במקור – י"ס].</w:t>
      </w:r>
    </w:p>
    <w:p w:rsidR="00EF55C1" w:rsidRDefault="00962986" w:rsidP="00962986">
      <w:pPr>
        <w:numPr>
          <w:ilvl w:val="0"/>
          <w:numId w:val="4"/>
        </w:numPr>
        <w:spacing w:before="240" w:line="360" w:lineRule="auto"/>
        <w:jc w:val="both"/>
        <w:rPr>
          <w:rFonts w:ascii="David" w:hAnsi="David"/>
          <w:sz w:val="26"/>
          <w:szCs w:val="26"/>
        </w:rPr>
      </w:pPr>
      <w:r>
        <w:rPr>
          <w:rFonts w:ascii="David" w:hAnsi="David" w:hint="cs"/>
          <w:sz w:val="26"/>
          <w:szCs w:val="26"/>
          <w:rtl/>
        </w:rPr>
        <w:t xml:space="preserve">המערערת טוענת כי טענתו היחידה של המשיב בשומתו, הן מבחינה לשונית והן מבחינה מהותית, היא טענת המלאכותיות. </w:t>
      </w:r>
    </w:p>
    <w:p w:rsidR="00962986" w:rsidRPr="00197455" w:rsidRDefault="00962986" w:rsidP="00EF55C1">
      <w:pPr>
        <w:spacing w:before="240" w:line="360" w:lineRule="auto"/>
        <w:ind w:left="360"/>
        <w:jc w:val="both"/>
        <w:rPr>
          <w:rFonts w:ascii="David" w:hAnsi="David"/>
          <w:sz w:val="26"/>
          <w:szCs w:val="26"/>
        </w:rPr>
      </w:pPr>
      <w:r w:rsidRPr="00197455">
        <w:rPr>
          <w:rFonts w:ascii="David" w:hAnsi="David"/>
          <w:sz w:val="26"/>
          <w:szCs w:val="26"/>
          <w:rtl/>
        </w:rPr>
        <w:t>לאחר שעיינתי היטב בכתבי הטענות, הגעתי למסקנה כי אין בידי לקבל</w:t>
      </w:r>
      <w:r>
        <w:rPr>
          <w:rFonts w:ascii="David" w:hAnsi="David"/>
          <w:sz w:val="26"/>
          <w:szCs w:val="26"/>
          <w:rtl/>
        </w:rPr>
        <w:t xml:space="preserve"> את בקש</w:t>
      </w:r>
      <w:r>
        <w:rPr>
          <w:rFonts w:ascii="David" w:hAnsi="David" w:hint="cs"/>
          <w:sz w:val="26"/>
          <w:szCs w:val="26"/>
          <w:rtl/>
        </w:rPr>
        <w:t>ת המערערת</w:t>
      </w:r>
      <w:r w:rsidRPr="00197455">
        <w:rPr>
          <w:rFonts w:ascii="David" w:hAnsi="David"/>
          <w:sz w:val="26"/>
          <w:szCs w:val="26"/>
          <w:rtl/>
        </w:rPr>
        <w:t>.</w:t>
      </w:r>
    </w:p>
    <w:p w:rsidR="00962986" w:rsidRPr="00331F6B" w:rsidRDefault="00962986" w:rsidP="001B655C">
      <w:pPr>
        <w:numPr>
          <w:ilvl w:val="0"/>
          <w:numId w:val="4"/>
        </w:numPr>
        <w:spacing w:before="240" w:line="360" w:lineRule="auto"/>
        <w:jc w:val="both"/>
        <w:rPr>
          <w:rFonts w:ascii="David" w:hAnsi="David"/>
          <w:sz w:val="26"/>
          <w:szCs w:val="26"/>
        </w:rPr>
      </w:pPr>
      <w:r>
        <w:rPr>
          <w:rFonts w:ascii="David" w:hAnsi="David" w:hint="cs"/>
          <w:sz w:val="26"/>
          <w:szCs w:val="26"/>
          <w:rtl/>
        </w:rPr>
        <w:t>בכל הנוגע ל</w:t>
      </w:r>
      <w:r w:rsidRPr="00331F6B">
        <w:rPr>
          <w:rFonts w:ascii="David" w:hAnsi="David" w:hint="cs"/>
          <w:sz w:val="26"/>
          <w:szCs w:val="26"/>
          <w:rtl/>
        </w:rPr>
        <w:t xml:space="preserve">מישור הלשוני, </w:t>
      </w:r>
      <w:r>
        <w:rPr>
          <w:rFonts w:ascii="David" w:hAnsi="David" w:hint="cs"/>
          <w:sz w:val="26"/>
          <w:szCs w:val="26"/>
          <w:rtl/>
        </w:rPr>
        <w:t xml:space="preserve">עוד בנימוקי השומה בצו </w:t>
      </w:r>
      <w:r w:rsidRPr="00331F6B">
        <w:rPr>
          <w:rFonts w:ascii="David" w:hAnsi="David" w:hint="cs"/>
          <w:sz w:val="26"/>
          <w:szCs w:val="26"/>
          <w:rtl/>
        </w:rPr>
        <w:t>ניתן ל</w:t>
      </w:r>
      <w:r>
        <w:rPr>
          <w:rFonts w:ascii="David" w:hAnsi="David" w:hint="cs"/>
          <w:sz w:val="26"/>
          <w:szCs w:val="26"/>
          <w:rtl/>
        </w:rPr>
        <w:t>היווכח בדבר הטענה</w:t>
      </w:r>
      <w:r w:rsidRPr="00331F6B">
        <w:rPr>
          <w:rFonts w:ascii="David" w:hAnsi="David" w:hint="cs"/>
          <w:sz w:val="26"/>
          <w:szCs w:val="26"/>
          <w:rtl/>
        </w:rPr>
        <w:t xml:space="preserve"> </w:t>
      </w:r>
      <w:r>
        <w:rPr>
          <w:rFonts w:ascii="David" w:hAnsi="David" w:hint="cs"/>
          <w:sz w:val="26"/>
          <w:szCs w:val="26"/>
          <w:rtl/>
        </w:rPr>
        <w:t xml:space="preserve">לסיווג שונה </w:t>
      </w:r>
      <w:r>
        <w:rPr>
          <w:rFonts w:ascii="David" w:hAnsi="David"/>
          <w:sz w:val="26"/>
          <w:szCs w:val="26"/>
          <w:rtl/>
        </w:rPr>
        <w:t>–</w:t>
      </w:r>
      <w:r>
        <w:rPr>
          <w:rFonts w:ascii="David" w:hAnsi="David" w:hint="cs"/>
          <w:sz w:val="26"/>
          <w:szCs w:val="26"/>
          <w:rtl/>
        </w:rPr>
        <w:t xml:space="preserve"> התערבות במצג העובדתי </w:t>
      </w:r>
      <w:r w:rsidR="001B655C">
        <w:rPr>
          <w:rFonts w:ascii="David" w:hAnsi="David" w:hint="cs"/>
          <w:sz w:val="26"/>
          <w:szCs w:val="26"/>
          <w:rtl/>
        </w:rPr>
        <w:t xml:space="preserve">לגבי זהות </w:t>
      </w:r>
      <w:r>
        <w:rPr>
          <w:rFonts w:ascii="David" w:hAnsi="David" w:hint="cs"/>
          <w:sz w:val="26"/>
          <w:szCs w:val="26"/>
          <w:rtl/>
        </w:rPr>
        <w:t>הצדדים לעסקה</w:t>
      </w:r>
      <w:r w:rsidRPr="00331F6B">
        <w:rPr>
          <w:rFonts w:ascii="David" w:hAnsi="David" w:hint="cs"/>
          <w:sz w:val="26"/>
          <w:szCs w:val="26"/>
          <w:rtl/>
        </w:rPr>
        <w:t>:</w:t>
      </w:r>
    </w:p>
    <w:p w:rsidR="00962986" w:rsidRDefault="00962986" w:rsidP="00962986">
      <w:pPr>
        <w:spacing w:before="240" w:line="360" w:lineRule="auto"/>
        <w:ind w:left="652" w:right="284"/>
        <w:jc w:val="both"/>
        <w:rPr>
          <w:rFonts w:ascii="David" w:hAnsi="David"/>
          <w:sz w:val="26"/>
          <w:szCs w:val="26"/>
          <w:rtl/>
        </w:rPr>
      </w:pPr>
      <w:r w:rsidRPr="00314B6B">
        <w:rPr>
          <w:rFonts w:ascii="David" w:hAnsi="David" w:hint="cs"/>
          <w:b/>
          <w:bCs/>
          <w:sz w:val="26"/>
          <w:szCs w:val="26"/>
          <w:rtl/>
        </w:rPr>
        <w:t xml:space="preserve">"לאור האמור לעיל, קבעתי כי על פי מכלול העובדות והנסיבות, </w:t>
      </w:r>
      <w:r w:rsidRPr="00FA4C8E">
        <w:rPr>
          <w:rFonts w:ascii="David" w:hAnsi="David" w:hint="cs"/>
          <w:b/>
          <w:bCs/>
          <w:sz w:val="26"/>
          <w:szCs w:val="26"/>
          <w:rtl/>
        </w:rPr>
        <w:t>עסקת המחאת ההלוואה בוצעה לצורך ניצול לרעה של אמנת המס, כאשר מטרתה העיקרית של העסקה היא הפחתת מס בלתי נאותה,</w:t>
      </w:r>
      <w:r w:rsidRPr="00314B6B">
        <w:rPr>
          <w:rFonts w:ascii="David" w:hAnsi="David" w:hint="cs"/>
          <w:b/>
          <w:bCs/>
          <w:sz w:val="26"/>
          <w:szCs w:val="26"/>
          <w:rtl/>
        </w:rPr>
        <w:t xml:space="preserve"> הבאה לידי ביטוי בפער המס שבין הוראות הדין הפנימי להוראות האמנה כאמור לעיל. </w:t>
      </w:r>
      <w:r w:rsidRPr="002979BC">
        <w:rPr>
          <w:rFonts w:ascii="David" w:hAnsi="David" w:hint="eastAsia"/>
          <w:b/>
          <w:bCs/>
          <w:sz w:val="26"/>
          <w:szCs w:val="26"/>
          <w:u w:val="single"/>
          <w:rtl/>
        </w:rPr>
        <w:t>יצוין</w:t>
      </w:r>
      <w:r w:rsidRPr="002979BC">
        <w:rPr>
          <w:rFonts w:ascii="David" w:hAnsi="David"/>
          <w:b/>
          <w:bCs/>
          <w:sz w:val="26"/>
          <w:szCs w:val="26"/>
          <w:u w:val="single"/>
          <w:rtl/>
        </w:rPr>
        <w:t xml:space="preserve"> </w:t>
      </w:r>
      <w:r w:rsidRPr="002979BC">
        <w:rPr>
          <w:rFonts w:ascii="David" w:hAnsi="David" w:hint="eastAsia"/>
          <w:b/>
          <w:bCs/>
          <w:sz w:val="26"/>
          <w:szCs w:val="26"/>
          <w:u w:val="single"/>
          <w:rtl/>
        </w:rPr>
        <w:t>כי</w:t>
      </w:r>
      <w:r w:rsidRPr="002979BC">
        <w:rPr>
          <w:rFonts w:ascii="David" w:hAnsi="David"/>
          <w:b/>
          <w:bCs/>
          <w:sz w:val="26"/>
          <w:szCs w:val="26"/>
          <w:u w:val="single"/>
          <w:rtl/>
        </w:rPr>
        <w:t xml:space="preserve"> </w:t>
      </w:r>
      <w:r w:rsidRPr="002979BC">
        <w:rPr>
          <w:rFonts w:ascii="David" w:hAnsi="David" w:hint="eastAsia"/>
          <w:b/>
          <w:bCs/>
          <w:sz w:val="26"/>
          <w:szCs w:val="26"/>
          <w:u w:val="single"/>
          <w:rtl/>
        </w:rPr>
        <w:t>כאמור</w:t>
      </w:r>
      <w:r w:rsidRPr="002979BC">
        <w:rPr>
          <w:rFonts w:ascii="David" w:hAnsi="David"/>
          <w:b/>
          <w:bCs/>
          <w:sz w:val="26"/>
          <w:szCs w:val="26"/>
          <w:u w:val="single"/>
          <w:rtl/>
        </w:rPr>
        <w:t xml:space="preserve"> </w:t>
      </w:r>
      <w:r w:rsidRPr="002979BC">
        <w:rPr>
          <w:rFonts w:ascii="David" w:hAnsi="David" w:hint="eastAsia"/>
          <w:b/>
          <w:bCs/>
          <w:sz w:val="26"/>
          <w:szCs w:val="26"/>
          <w:u w:val="single"/>
          <w:rtl/>
        </w:rPr>
        <w:t>לעיל</w:t>
      </w:r>
      <w:r w:rsidRPr="002979BC">
        <w:rPr>
          <w:rFonts w:ascii="David" w:hAnsi="David"/>
          <w:b/>
          <w:bCs/>
          <w:sz w:val="26"/>
          <w:szCs w:val="26"/>
          <w:u w:val="single"/>
          <w:rtl/>
        </w:rPr>
        <w:t xml:space="preserve"> </w:t>
      </w:r>
      <w:r w:rsidRPr="002979BC">
        <w:rPr>
          <w:rFonts w:ascii="David" w:hAnsi="David" w:hint="eastAsia"/>
          <w:b/>
          <w:bCs/>
          <w:sz w:val="26"/>
          <w:szCs w:val="26"/>
          <w:u w:val="single"/>
          <w:rtl/>
        </w:rPr>
        <w:t>רובו</w:t>
      </w:r>
      <w:r w:rsidRPr="002979BC">
        <w:rPr>
          <w:rFonts w:ascii="David" w:hAnsi="David"/>
          <w:b/>
          <w:bCs/>
          <w:sz w:val="26"/>
          <w:szCs w:val="26"/>
          <w:u w:val="single"/>
          <w:rtl/>
        </w:rPr>
        <w:t xml:space="preserve"> </w:t>
      </w:r>
      <w:r w:rsidRPr="002979BC">
        <w:rPr>
          <w:rFonts w:ascii="David" w:hAnsi="David" w:hint="eastAsia"/>
          <w:b/>
          <w:bCs/>
          <w:sz w:val="26"/>
          <w:szCs w:val="26"/>
          <w:u w:val="single"/>
          <w:rtl/>
        </w:rPr>
        <w:t>ככולו</w:t>
      </w:r>
      <w:r w:rsidRPr="002979BC">
        <w:rPr>
          <w:rFonts w:ascii="David" w:hAnsi="David"/>
          <w:b/>
          <w:bCs/>
          <w:sz w:val="26"/>
          <w:szCs w:val="26"/>
          <w:u w:val="single"/>
          <w:rtl/>
        </w:rPr>
        <w:t xml:space="preserve"> </w:t>
      </w:r>
      <w:r w:rsidRPr="002979BC">
        <w:rPr>
          <w:rFonts w:ascii="David" w:hAnsi="David" w:hint="eastAsia"/>
          <w:b/>
          <w:bCs/>
          <w:sz w:val="26"/>
          <w:szCs w:val="26"/>
          <w:u w:val="single"/>
          <w:rtl/>
        </w:rPr>
        <w:t>של</w:t>
      </w:r>
      <w:r w:rsidRPr="002979BC">
        <w:rPr>
          <w:rFonts w:ascii="David" w:hAnsi="David"/>
          <w:b/>
          <w:bCs/>
          <w:sz w:val="26"/>
          <w:szCs w:val="26"/>
          <w:u w:val="single"/>
          <w:rtl/>
        </w:rPr>
        <w:t xml:space="preserve"> </w:t>
      </w:r>
      <w:r w:rsidRPr="002979BC">
        <w:rPr>
          <w:rFonts w:ascii="David" w:hAnsi="David" w:hint="eastAsia"/>
          <w:b/>
          <w:bCs/>
          <w:sz w:val="26"/>
          <w:szCs w:val="26"/>
          <w:u w:val="single"/>
          <w:rtl/>
        </w:rPr>
        <w:t>סכום</w:t>
      </w:r>
      <w:r w:rsidRPr="002979BC">
        <w:rPr>
          <w:rFonts w:ascii="David" w:hAnsi="David"/>
          <w:b/>
          <w:bCs/>
          <w:sz w:val="26"/>
          <w:szCs w:val="26"/>
          <w:u w:val="single"/>
          <w:rtl/>
        </w:rPr>
        <w:t xml:space="preserve"> </w:t>
      </w:r>
      <w:r w:rsidRPr="002979BC">
        <w:rPr>
          <w:rFonts w:ascii="David" w:hAnsi="David" w:hint="eastAsia"/>
          <w:b/>
          <w:bCs/>
          <w:sz w:val="26"/>
          <w:szCs w:val="26"/>
          <w:u w:val="single"/>
          <w:rtl/>
        </w:rPr>
        <w:t>ההלוואה</w:t>
      </w:r>
      <w:r w:rsidRPr="002979BC">
        <w:rPr>
          <w:rFonts w:ascii="David" w:hAnsi="David"/>
          <w:b/>
          <w:bCs/>
          <w:sz w:val="26"/>
          <w:szCs w:val="26"/>
          <w:u w:val="single"/>
          <w:rtl/>
        </w:rPr>
        <w:t xml:space="preserve"> </w:t>
      </w:r>
      <w:r w:rsidRPr="002979BC">
        <w:rPr>
          <w:rFonts w:ascii="David" w:hAnsi="David" w:hint="eastAsia"/>
          <w:b/>
          <w:bCs/>
          <w:sz w:val="26"/>
          <w:szCs w:val="26"/>
          <w:u w:val="single"/>
          <w:rtl/>
        </w:rPr>
        <w:t>הוגדר</w:t>
      </w:r>
      <w:r w:rsidRPr="002979BC">
        <w:rPr>
          <w:rFonts w:ascii="David" w:hAnsi="David"/>
          <w:b/>
          <w:bCs/>
          <w:sz w:val="26"/>
          <w:szCs w:val="26"/>
          <w:u w:val="single"/>
          <w:rtl/>
        </w:rPr>
        <w:t xml:space="preserve"> </w:t>
      </w:r>
      <w:r w:rsidRPr="002979BC">
        <w:rPr>
          <w:rFonts w:ascii="David" w:hAnsi="David" w:hint="eastAsia"/>
          <w:b/>
          <w:bCs/>
          <w:sz w:val="26"/>
          <w:szCs w:val="26"/>
          <w:u w:val="single"/>
          <w:rtl/>
        </w:rPr>
        <w:t>במסגרת</w:t>
      </w:r>
      <w:r w:rsidRPr="002979BC">
        <w:rPr>
          <w:rFonts w:ascii="David" w:hAnsi="David"/>
          <w:b/>
          <w:bCs/>
          <w:sz w:val="26"/>
          <w:szCs w:val="26"/>
          <w:u w:val="single"/>
          <w:rtl/>
        </w:rPr>
        <w:t xml:space="preserve"> </w:t>
      </w:r>
      <w:r w:rsidRPr="002979BC">
        <w:rPr>
          <w:rFonts w:ascii="David" w:hAnsi="David" w:hint="eastAsia"/>
          <w:b/>
          <w:bCs/>
          <w:sz w:val="26"/>
          <w:szCs w:val="26"/>
          <w:u w:val="single"/>
          <w:rtl/>
        </w:rPr>
        <w:t>הסכם</w:t>
      </w:r>
      <w:r w:rsidRPr="002979BC">
        <w:rPr>
          <w:rFonts w:ascii="David" w:hAnsi="David"/>
          <w:b/>
          <w:bCs/>
          <w:sz w:val="26"/>
          <w:szCs w:val="26"/>
          <w:u w:val="single"/>
          <w:rtl/>
        </w:rPr>
        <w:t xml:space="preserve"> </w:t>
      </w:r>
      <w:r w:rsidRPr="002979BC">
        <w:rPr>
          <w:rFonts w:ascii="David" w:hAnsi="David" w:hint="eastAsia"/>
          <w:b/>
          <w:bCs/>
          <w:sz w:val="26"/>
          <w:szCs w:val="26"/>
          <w:u w:val="single"/>
          <w:rtl/>
        </w:rPr>
        <w:t>ההמחאה</w:t>
      </w:r>
      <w:r w:rsidRPr="002979BC">
        <w:rPr>
          <w:rFonts w:ascii="David" w:hAnsi="David"/>
          <w:b/>
          <w:bCs/>
          <w:sz w:val="26"/>
          <w:szCs w:val="26"/>
          <w:u w:val="single"/>
          <w:rtl/>
        </w:rPr>
        <w:t xml:space="preserve"> </w:t>
      </w:r>
      <w:r w:rsidRPr="002979BC">
        <w:rPr>
          <w:rFonts w:ascii="David" w:hAnsi="David" w:hint="eastAsia"/>
          <w:b/>
          <w:bCs/>
          <w:sz w:val="26"/>
          <w:szCs w:val="26"/>
          <w:u w:val="single"/>
          <w:rtl/>
        </w:rPr>
        <w:t>כהלוואה</w:t>
      </w:r>
      <w:r w:rsidRPr="002979BC">
        <w:rPr>
          <w:rFonts w:ascii="David" w:hAnsi="David"/>
          <w:b/>
          <w:bCs/>
          <w:sz w:val="26"/>
          <w:szCs w:val="26"/>
          <w:u w:val="single"/>
          <w:rtl/>
        </w:rPr>
        <w:t xml:space="preserve"> </w:t>
      </w:r>
      <w:r w:rsidRPr="002979BC">
        <w:rPr>
          <w:rFonts w:ascii="David" w:hAnsi="David" w:hint="eastAsia"/>
          <w:b/>
          <w:bCs/>
          <w:sz w:val="26"/>
          <w:szCs w:val="26"/>
          <w:u w:val="single"/>
          <w:rtl/>
        </w:rPr>
        <w:t>שהחברה</w:t>
      </w:r>
      <w:r w:rsidRPr="002979BC">
        <w:rPr>
          <w:rFonts w:ascii="David" w:hAnsi="David"/>
          <w:b/>
          <w:bCs/>
          <w:sz w:val="26"/>
          <w:szCs w:val="26"/>
          <w:u w:val="single"/>
          <w:rtl/>
        </w:rPr>
        <w:t xml:space="preserve"> </w:t>
      </w:r>
      <w:r w:rsidRPr="002979BC">
        <w:rPr>
          <w:rFonts w:ascii="David" w:hAnsi="David" w:hint="eastAsia"/>
          <w:b/>
          <w:bCs/>
          <w:sz w:val="26"/>
          <w:szCs w:val="26"/>
          <w:u w:val="single"/>
          <w:rtl/>
        </w:rPr>
        <w:t>מלוקסמבורג</w:t>
      </w:r>
      <w:r w:rsidRPr="002979BC">
        <w:rPr>
          <w:rFonts w:ascii="David" w:hAnsi="David"/>
          <w:b/>
          <w:bCs/>
          <w:sz w:val="26"/>
          <w:szCs w:val="26"/>
          <w:u w:val="single"/>
          <w:rtl/>
        </w:rPr>
        <w:t xml:space="preserve"> </w:t>
      </w:r>
      <w:r w:rsidRPr="002979BC">
        <w:rPr>
          <w:rFonts w:ascii="David" w:hAnsi="David" w:hint="eastAsia"/>
          <w:b/>
          <w:bCs/>
          <w:sz w:val="26"/>
          <w:szCs w:val="26"/>
          <w:u w:val="single"/>
          <w:rtl/>
        </w:rPr>
        <w:t>אמורה</w:t>
      </w:r>
      <w:r w:rsidRPr="002979BC">
        <w:rPr>
          <w:rFonts w:ascii="David" w:hAnsi="David"/>
          <w:b/>
          <w:bCs/>
          <w:sz w:val="26"/>
          <w:szCs w:val="26"/>
          <w:u w:val="single"/>
          <w:rtl/>
        </w:rPr>
        <w:t xml:space="preserve"> </w:t>
      </w:r>
      <w:r w:rsidRPr="002979BC">
        <w:rPr>
          <w:rFonts w:ascii="David" w:hAnsi="David" w:hint="eastAsia"/>
          <w:b/>
          <w:bCs/>
          <w:sz w:val="26"/>
          <w:szCs w:val="26"/>
          <w:u w:val="single"/>
          <w:rtl/>
        </w:rPr>
        <w:t>לשלם</w:t>
      </w:r>
      <w:r w:rsidRPr="002979BC">
        <w:rPr>
          <w:rFonts w:ascii="David" w:hAnsi="David"/>
          <w:b/>
          <w:bCs/>
          <w:sz w:val="26"/>
          <w:szCs w:val="26"/>
          <w:u w:val="single"/>
          <w:rtl/>
        </w:rPr>
        <w:t xml:space="preserve"> </w:t>
      </w:r>
      <w:r w:rsidRPr="002979BC">
        <w:rPr>
          <w:rFonts w:ascii="David" w:hAnsi="David" w:hint="eastAsia"/>
          <w:b/>
          <w:bCs/>
          <w:sz w:val="26"/>
          <w:szCs w:val="26"/>
          <w:u w:val="single"/>
          <w:rtl/>
        </w:rPr>
        <w:t>לחברת</w:t>
      </w:r>
      <w:r w:rsidRPr="002979BC">
        <w:rPr>
          <w:rFonts w:ascii="David" w:hAnsi="David"/>
          <w:b/>
          <w:bCs/>
          <w:sz w:val="26"/>
          <w:szCs w:val="26"/>
          <w:u w:val="single"/>
          <w:rtl/>
        </w:rPr>
        <w:t xml:space="preserve"> </w:t>
      </w:r>
      <w:r w:rsidRPr="002979BC">
        <w:rPr>
          <w:rFonts w:ascii="David" w:hAnsi="David" w:hint="eastAsia"/>
          <w:b/>
          <w:bCs/>
          <w:sz w:val="26"/>
          <w:szCs w:val="26"/>
          <w:u w:val="single"/>
          <w:rtl/>
        </w:rPr>
        <w:t>מ</w:t>
      </w:r>
      <w:r w:rsidRPr="002979BC">
        <w:rPr>
          <w:rFonts w:ascii="David" w:hAnsi="David"/>
          <w:b/>
          <w:bCs/>
          <w:sz w:val="26"/>
          <w:szCs w:val="26"/>
          <w:u w:val="single"/>
          <w:rtl/>
        </w:rPr>
        <w:t>-</w:t>
      </w:r>
      <w:r w:rsidRPr="002979BC">
        <w:rPr>
          <w:rFonts w:ascii="David" w:hAnsi="David"/>
          <w:b/>
          <w:bCs/>
          <w:sz w:val="26"/>
          <w:szCs w:val="26"/>
          <w:u w:val="single"/>
        </w:rPr>
        <w:t>BVI</w:t>
      </w:r>
      <w:r w:rsidRPr="002979BC">
        <w:rPr>
          <w:rFonts w:ascii="David" w:hAnsi="David"/>
          <w:b/>
          <w:bCs/>
          <w:sz w:val="26"/>
          <w:szCs w:val="26"/>
          <w:u w:val="single"/>
          <w:rtl/>
        </w:rPr>
        <w:t xml:space="preserve"> בריבית שדומה לריבית שנקבעה בהלוואה</w:t>
      </w:r>
      <w:r w:rsidRPr="006C1547">
        <w:rPr>
          <w:rFonts w:ascii="David" w:hAnsi="David"/>
          <w:b/>
          <w:bCs/>
          <w:sz w:val="26"/>
          <w:szCs w:val="26"/>
          <w:rtl/>
        </w:rPr>
        <w:t xml:space="preserve">. </w:t>
      </w:r>
      <w:r w:rsidRPr="008B4BC9">
        <w:rPr>
          <w:rFonts w:ascii="David" w:hAnsi="David" w:hint="eastAsia"/>
          <w:b/>
          <w:bCs/>
          <w:sz w:val="26"/>
          <w:szCs w:val="26"/>
          <w:rtl/>
        </w:rPr>
        <w:t>בנסיבות</w:t>
      </w:r>
      <w:r w:rsidRPr="008B4BC9">
        <w:rPr>
          <w:rFonts w:ascii="David" w:hAnsi="David"/>
          <w:b/>
          <w:bCs/>
          <w:sz w:val="26"/>
          <w:szCs w:val="26"/>
          <w:rtl/>
        </w:rPr>
        <w:t xml:space="preserve"> </w:t>
      </w:r>
      <w:r w:rsidRPr="008B4BC9">
        <w:rPr>
          <w:rFonts w:ascii="David" w:hAnsi="David" w:hint="eastAsia"/>
          <w:b/>
          <w:bCs/>
          <w:sz w:val="26"/>
          <w:szCs w:val="26"/>
          <w:rtl/>
        </w:rPr>
        <w:t>אלו</w:t>
      </w:r>
      <w:r w:rsidRPr="008B4BC9">
        <w:rPr>
          <w:rFonts w:ascii="David" w:hAnsi="David"/>
          <w:b/>
          <w:bCs/>
          <w:sz w:val="26"/>
          <w:szCs w:val="26"/>
          <w:rtl/>
        </w:rPr>
        <w:t xml:space="preserve"> </w:t>
      </w:r>
      <w:r w:rsidRPr="008B4BC9">
        <w:rPr>
          <w:rFonts w:ascii="David" w:hAnsi="David" w:hint="eastAsia"/>
          <w:b/>
          <w:bCs/>
          <w:sz w:val="26"/>
          <w:szCs w:val="26"/>
          <w:rtl/>
        </w:rPr>
        <w:t>קבעתי</w:t>
      </w:r>
      <w:r w:rsidRPr="006C1547">
        <w:rPr>
          <w:rFonts w:ascii="David" w:hAnsi="David"/>
          <w:b/>
          <w:bCs/>
          <w:sz w:val="26"/>
          <w:szCs w:val="26"/>
          <w:rtl/>
        </w:rPr>
        <w:t xml:space="preserve">, </w:t>
      </w:r>
      <w:r w:rsidRPr="008B4BC9">
        <w:rPr>
          <w:rFonts w:ascii="David" w:hAnsi="David" w:hint="eastAsia"/>
          <w:b/>
          <w:bCs/>
          <w:sz w:val="26"/>
          <w:szCs w:val="26"/>
          <w:rtl/>
        </w:rPr>
        <w:t>כי</w:t>
      </w:r>
      <w:r w:rsidRPr="008B4BC9">
        <w:rPr>
          <w:rFonts w:ascii="David" w:hAnsi="David"/>
          <w:b/>
          <w:bCs/>
          <w:sz w:val="26"/>
          <w:szCs w:val="26"/>
          <w:rtl/>
        </w:rPr>
        <w:t xml:space="preserve"> </w:t>
      </w:r>
      <w:r w:rsidRPr="008B4BC9">
        <w:rPr>
          <w:rFonts w:ascii="David" w:hAnsi="David" w:hint="eastAsia"/>
          <w:b/>
          <w:bCs/>
          <w:sz w:val="26"/>
          <w:szCs w:val="26"/>
          <w:rtl/>
        </w:rPr>
        <w:t>יש</w:t>
      </w:r>
      <w:r w:rsidRPr="008B4BC9">
        <w:rPr>
          <w:rFonts w:ascii="David" w:hAnsi="David"/>
          <w:b/>
          <w:bCs/>
          <w:sz w:val="26"/>
          <w:szCs w:val="26"/>
          <w:rtl/>
        </w:rPr>
        <w:t xml:space="preserve"> </w:t>
      </w:r>
      <w:r w:rsidRPr="008B4BC9">
        <w:rPr>
          <w:rFonts w:ascii="David" w:hAnsi="David" w:hint="eastAsia"/>
          <w:b/>
          <w:bCs/>
          <w:sz w:val="26"/>
          <w:szCs w:val="26"/>
          <w:rtl/>
        </w:rPr>
        <w:t>להתעלם</w:t>
      </w:r>
      <w:r w:rsidRPr="008B4BC9">
        <w:rPr>
          <w:rFonts w:ascii="David" w:hAnsi="David"/>
          <w:b/>
          <w:bCs/>
          <w:sz w:val="26"/>
          <w:szCs w:val="26"/>
          <w:rtl/>
        </w:rPr>
        <w:t xml:space="preserve"> </w:t>
      </w:r>
      <w:r w:rsidRPr="008B4BC9">
        <w:rPr>
          <w:rFonts w:ascii="David" w:hAnsi="David" w:hint="eastAsia"/>
          <w:b/>
          <w:bCs/>
          <w:sz w:val="26"/>
          <w:szCs w:val="26"/>
          <w:rtl/>
        </w:rPr>
        <w:t>מביצוע</w:t>
      </w:r>
      <w:r w:rsidRPr="008B4BC9">
        <w:rPr>
          <w:rFonts w:ascii="David" w:hAnsi="David"/>
          <w:b/>
          <w:bCs/>
          <w:sz w:val="26"/>
          <w:szCs w:val="26"/>
          <w:rtl/>
        </w:rPr>
        <w:t xml:space="preserve"> </w:t>
      </w:r>
      <w:r w:rsidRPr="008B4BC9">
        <w:rPr>
          <w:rFonts w:ascii="David" w:hAnsi="David" w:hint="eastAsia"/>
          <w:b/>
          <w:bCs/>
          <w:sz w:val="26"/>
          <w:szCs w:val="26"/>
          <w:rtl/>
        </w:rPr>
        <w:t>ההמחאה</w:t>
      </w:r>
      <w:r w:rsidRPr="006C1547">
        <w:rPr>
          <w:rFonts w:ascii="David" w:hAnsi="David"/>
          <w:b/>
          <w:bCs/>
          <w:sz w:val="26"/>
          <w:szCs w:val="26"/>
          <w:rtl/>
        </w:rPr>
        <w:t xml:space="preserve"> </w:t>
      </w:r>
      <w:r w:rsidRPr="008B4BC9">
        <w:rPr>
          <w:rFonts w:ascii="David" w:hAnsi="David" w:hint="eastAsia"/>
          <w:b/>
          <w:bCs/>
          <w:sz w:val="26"/>
          <w:szCs w:val="26"/>
          <w:u w:val="single"/>
          <w:rtl/>
        </w:rPr>
        <w:t>ויש</w:t>
      </w:r>
      <w:r w:rsidRPr="008B4BC9">
        <w:rPr>
          <w:rFonts w:ascii="David" w:hAnsi="David"/>
          <w:b/>
          <w:bCs/>
          <w:sz w:val="26"/>
          <w:szCs w:val="26"/>
          <w:u w:val="single"/>
          <w:rtl/>
        </w:rPr>
        <w:t xml:space="preserve"> </w:t>
      </w:r>
      <w:r w:rsidRPr="008B4BC9">
        <w:rPr>
          <w:rFonts w:ascii="David" w:hAnsi="David" w:hint="eastAsia"/>
          <w:b/>
          <w:bCs/>
          <w:sz w:val="26"/>
          <w:szCs w:val="26"/>
          <w:u w:val="single"/>
          <w:rtl/>
        </w:rPr>
        <w:t>לראות</w:t>
      </w:r>
      <w:r w:rsidRPr="008B4BC9">
        <w:rPr>
          <w:rFonts w:ascii="David" w:hAnsi="David"/>
          <w:b/>
          <w:bCs/>
          <w:sz w:val="26"/>
          <w:szCs w:val="26"/>
          <w:u w:val="single"/>
          <w:rtl/>
        </w:rPr>
        <w:t xml:space="preserve"> </w:t>
      </w:r>
      <w:r w:rsidRPr="008B4BC9">
        <w:rPr>
          <w:rFonts w:ascii="David" w:hAnsi="David" w:hint="eastAsia"/>
          <w:b/>
          <w:bCs/>
          <w:sz w:val="26"/>
          <w:szCs w:val="26"/>
          <w:u w:val="single"/>
          <w:rtl/>
        </w:rPr>
        <w:t>את</w:t>
      </w:r>
      <w:r w:rsidRPr="008B4BC9">
        <w:rPr>
          <w:rFonts w:ascii="David" w:hAnsi="David"/>
          <w:b/>
          <w:bCs/>
          <w:sz w:val="26"/>
          <w:szCs w:val="26"/>
          <w:u w:val="single"/>
          <w:rtl/>
        </w:rPr>
        <w:t xml:space="preserve"> </w:t>
      </w:r>
      <w:r w:rsidRPr="008B4BC9">
        <w:rPr>
          <w:rFonts w:ascii="David" w:hAnsi="David" w:hint="eastAsia"/>
          <w:b/>
          <w:bCs/>
          <w:sz w:val="26"/>
          <w:szCs w:val="26"/>
          <w:u w:val="single"/>
          <w:rtl/>
        </w:rPr>
        <w:t>תשלומי</w:t>
      </w:r>
      <w:r w:rsidRPr="008B4BC9">
        <w:rPr>
          <w:rFonts w:ascii="David" w:hAnsi="David"/>
          <w:b/>
          <w:bCs/>
          <w:sz w:val="26"/>
          <w:szCs w:val="26"/>
          <w:u w:val="single"/>
          <w:rtl/>
        </w:rPr>
        <w:t xml:space="preserve"> </w:t>
      </w:r>
      <w:r w:rsidRPr="008B4BC9">
        <w:rPr>
          <w:rFonts w:ascii="David" w:hAnsi="David" w:hint="eastAsia"/>
          <w:b/>
          <w:bCs/>
          <w:sz w:val="26"/>
          <w:szCs w:val="26"/>
          <w:u w:val="single"/>
          <w:rtl/>
        </w:rPr>
        <w:t>הריבית</w:t>
      </w:r>
      <w:r w:rsidRPr="008B4BC9">
        <w:rPr>
          <w:rFonts w:ascii="David" w:hAnsi="David"/>
          <w:b/>
          <w:bCs/>
          <w:sz w:val="26"/>
          <w:szCs w:val="26"/>
          <w:u w:val="single"/>
          <w:rtl/>
        </w:rPr>
        <w:t xml:space="preserve"> </w:t>
      </w:r>
      <w:r w:rsidRPr="008B4BC9">
        <w:rPr>
          <w:rFonts w:ascii="David" w:hAnsi="David" w:hint="eastAsia"/>
          <w:b/>
          <w:bCs/>
          <w:sz w:val="26"/>
          <w:szCs w:val="26"/>
          <w:u w:val="single"/>
          <w:rtl/>
        </w:rPr>
        <w:t>ככאלה</w:t>
      </w:r>
      <w:r w:rsidRPr="008B4BC9">
        <w:rPr>
          <w:rFonts w:ascii="David" w:hAnsi="David"/>
          <w:b/>
          <w:bCs/>
          <w:sz w:val="26"/>
          <w:szCs w:val="26"/>
          <w:u w:val="single"/>
          <w:rtl/>
        </w:rPr>
        <w:t xml:space="preserve"> </w:t>
      </w:r>
      <w:r w:rsidRPr="008B4BC9">
        <w:rPr>
          <w:rFonts w:ascii="David" w:hAnsi="David" w:hint="eastAsia"/>
          <w:b/>
          <w:bCs/>
          <w:sz w:val="26"/>
          <w:szCs w:val="26"/>
          <w:u w:val="single"/>
          <w:rtl/>
        </w:rPr>
        <w:t>ששולמו</w:t>
      </w:r>
      <w:r w:rsidRPr="008B4BC9">
        <w:rPr>
          <w:rFonts w:ascii="David" w:hAnsi="David"/>
          <w:b/>
          <w:bCs/>
          <w:sz w:val="26"/>
          <w:szCs w:val="26"/>
          <w:u w:val="single"/>
          <w:rtl/>
        </w:rPr>
        <w:t xml:space="preserve"> </w:t>
      </w:r>
      <w:r w:rsidRPr="008B4BC9">
        <w:rPr>
          <w:rFonts w:ascii="David" w:hAnsi="David" w:hint="eastAsia"/>
          <w:b/>
          <w:bCs/>
          <w:sz w:val="26"/>
          <w:szCs w:val="26"/>
          <w:u w:val="single"/>
          <w:rtl/>
        </w:rPr>
        <w:t>לחברה</w:t>
      </w:r>
      <w:r w:rsidRPr="008B4BC9">
        <w:rPr>
          <w:rFonts w:ascii="David" w:hAnsi="David"/>
          <w:b/>
          <w:bCs/>
          <w:sz w:val="26"/>
          <w:szCs w:val="26"/>
          <w:u w:val="single"/>
          <w:rtl/>
        </w:rPr>
        <w:t xml:space="preserve"> </w:t>
      </w:r>
      <w:r w:rsidRPr="008B4BC9">
        <w:rPr>
          <w:rFonts w:ascii="David" w:hAnsi="David" w:hint="eastAsia"/>
          <w:b/>
          <w:bCs/>
          <w:sz w:val="26"/>
          <w:szCs w:val="26"/>
          <w:u w:val="single"/>
          <w:rtl/>
        </w:rPr>
        <w:t>מ</w:t>
      </w:r>
      <w:r w:rsidRPr="008B4BC9">
        <w:rPr>
          <w:rFonts w:ascii="David" w:hAnsi="David"/>
          <w:b/>
          <w:bCs/>
          <w:sz w:val="26"/>
          <w:szCs w:val="26"/>
          <w:u w:val="single"/>
          <w:rtl/>
        </w:rPr>
        <w:t>-</w:t>
      </w:r>
      <w:r w:rsidRPr="008B4BC9">
        <w:rPr>
          <w:rFonts w:ascii="David" w:hAnsi="David"/>
          <w:b/>
          <w:bCs/>
          <w:sz w:val="26"/>
          <w:szCs w:val="26"/>
          <w:u w:val="single"/>
        </w:rPr>
        <w:t>BVI</w:t>
      </w:r>
      <w:r w:rsidRPr="00314B6B">
        <w:rPr>
          <w:rFonts w:ascii="David" w:hAnsi="David" w:hint="cs"/>
          <w:b/>
          <w:bCs/>
          <w:sz w:val="26"/>
          <w:szCs w:val="26"/>
          <w:rtl/>
        </w:rPr>
        <w:t>".</w:t>
      </w:r>
      <w:r w:rsidRPr="002D308B">
        <w:rPr>
          <w:rFonts w:ascii="David" w:hAnsi="David" w:hint="cs"/>
          <w:sz w:val="26"/>
          <w:szCs w:val="26"/>
          <w:rtl/>
        </w:rPr>
        <w:t xml:space="preserve"> </w:t>
      </w:r>
      <w:r>
        <w:rPr>
          <w:rFonts w:ascii="David" w:hAnsi="David" w:hint="cs"/>
          <w:sz w:val="26"/>
          <w:szCs w:val="26"/>
          <w:rtl/>
        </w:rPr>
        <w:t xml:space="preserve">(סעיף 11 לנימוקי הצווים לפי מיטב השפיטה לשנות המס 2015 </w:t>
      </w:r>
      <w:r>
        <w:rPr>
          <w:rFonts w:ascii="David" w:hAnsi="David"/>
          <w:sz w:val="26"/>
          <w:szCs w:val="26"/>
          <w:rtl/>
        </w:rPr>
        <w:t>–</w:t>
      </w:r>
      <w:r>
        <w:rPr>
          <w:rFonts w:ascii="David" w:hAnsi="David" w:hint="cs"/>
          <w:sz w:val="26"/>
          <w:szCs w:val="26"/>
          <w:rtl/>
        </w:rPr>
        <w:t xml:space="preserve"> 2018). </w:t>
      </w:r>
    </w:p>
    <w:p w:rsidR="00962986" w:rsidRDefault="00962986" w:rsidP="00EF55C1">
      <w:pPr>
        <w:numPr>
          <w:ilvl w:val="0"/>
          <w:numId w:val="4"/>
        </w:numPr>
        <w:spacing w:before="240" w:line="360" w:lineRule="auto"/>
        <w:jc w:val="both"/>
        <w:rPr>
          <w:rFonts w:ascii="David" w:hAnsi="David"/>
          <w:sz w:val="26"/>
          <w:szCs w:val="26"/>
        </w:rPr>
      </w:pPr>
      <w:r>
        <w:rPr>
          <w:rFonts w:ascii="David" w:hAnsi="David" w:hint="cs"/>
          <w:sz w:val="26"/>
          <w:szCs w:val="26"/>
          <w:rtl/>
        </w:rPr>
        <w:t>דברים דומים ציין המשיב גם בהודעה המפרשת את נימוקי ה</w:t>
      </w:r>
      <w:r w:rsidR="00EF55C1">
        <w:rPr>
          <w:rFonts w:ascii="David" w:hAnsi="David" w:hint="cs"/>
          <w:sz w:val="26"/>
          <w:szCs w:val="26"/>
          <w:rtl/>
        </w:rPr>
        <w:t>שומה</w:t>
      </w:r>
      <w:r>
        <w:rPr>
          <w:rFonts w:ascii="David" w:hAnsi="David" w:hint="cs"/>
          <w:sz w:val="26"/>
          <w:szCs w:val="26"/>
          <w:rtl/>
        </w:rPr>
        <w:t xml:space="preserve"> בכותבו כי:</w:t>
      </w:r>
    </w:p>
    <w:p w:rsidR="00962986" w:rsidRDefault="00962986" w:rsidP="00962986">
      <w:pPr>
        <w:spacing w:before="240" w:line="360" w:lineRule="auto"/>
        <w:ind w:left="652" w:right="284" w:firstLine="9"/>
        <w:jc w:val="both"/>
        <w:rPr>
          <w:rFonts w:ascii="David" w:hAnsi="David"/>
          <w:sz w:val="26"/>
          <w:szCs w:val="26"/>
          <w:rtl/>
        </w:rPr>
      </w:pPr>
      <w:r w:rsidRPr="00486E8C">
        <w:rPr>
          <w:rFonts w:ascii="David" w:hAnsi="David" w:hint="cs"/>
          <w:sz w:val="26"/>
          <w:szCs w:val="26"/>
          <w:rtl/>
        </w:rPr>
        <w:t>"</w:t>
      </w:r>
      <w:r w:rsidRPr="00486E8C">
        <w:rPr>
          <w:rFonts w:ascii="David" w:hAnsi="David" w:hint="cs"/>
          <w:b/>
          <w:bCs/>
          <w:sz w:val="26"/>
          <w:szCs w:val="26"/>
          <w:rtl/>
        </w:rPr>
        <w:t>המערערת לא הציגה הסבר המניח את הדעת לצורך להמחות את ההלוואה לחברה מלוקסמבורג, כאשר ממילא רובם ככולם של תשלומי ההלוואה אמורים להיות מועברים עפ"י הסכם ההמחאה מלוקסמבורג לחברה מ-</w:t>
      </w:r>
      <w:r w:rsidRPr="00486E8C">
        <w:rPr>
          <w:rFonts w:ascii="David" w:hAnsi="David" w:hint="cs"/>
          <w:b/>
          <w:bCs/>
          <w:sz w:val="26"/>
          <w:szCs w:val="26"/>
        </w:rPr>
        <w:t>BVI</w:t>
      </w:r>
      <w:r>
        <w:rPr>
          <w:rFonts w:ascii="David" w:hAnsi="David" w:hint="cs"/>
          <w:sz w:val="26"/>
          <w:szCs w:val="26"/>
          <w:rtl/>
        </w:rPr>
        <w:t xml:space="preserve"> </w:t>
      </w:r>
      <w:r w:rsidRPr="008B4BC9">
        <w:rPr>
          <w:rFonts w:ascii="David" w:hAnsi="David"/>
          <w:b/>
          <w:bCs/>
          <w:sz w:val="26"/>
          <w:szCs w:val="26"/>
          <w:rtl/>
        </w:rPr>
        <w:t xml:space="preserve">... בנסיבות אלו קבעתי, כי יש לסווג את העסקה בהתאם לתוכנה הכלכלי האמיתי של העסקה היינו כהסכם הלוואה בין המערערת לבין החברה </w:t>
      </w:r>
      <w:r w:rsidRPr="008B4BC9">
        <w:rPr>
          <w:rFonts w:ascii="David" w:hAnsi="David"/>
          <w:b/>
          <w:bCs/>
          <w:sz w:val="26"/>
          <w:szCs w:val="26"/>
        </w:rPr>
        <w:t>BVI</w:t>
      </w:r>
      <w:r w:rsidRPr="008B4BC9">
        <w:rPr>
          <w:rFonts w:ascii="David" w:hAnsi="David"/>
          <w:b/>
          <w:bCs/>
          <w:sz w:val="26"/>
          <w:szCs w:val="26"/>
          <w:rtl/>
        </w:rPr>
        <w:t xml:space="preserve"> ובהתאם לכך יש להתעלם מביצוע ההמחאה ויש לראות את תשלומי הריבית ככאלה ששולמו במישרין לחבר</w:t>
      </w:r>
      <w:r w:rsidRPr="008B4BC9">
        <w:rPr>
          <w:rFonts w:ascii="David" w:hAnsi="David" w:hint="eastAsia"/>
          <w:b/>
          <w:bCs/>
          <w:sz w:val="26"/>
          <w:szCs w:val="26"/>
          <w:rtl/>
        </w:rPr>
        <w:t>ה</w:t>
      </w:r>
      <w:r w:rsidRPr="008B4BC9">
        <w:rPr>
          <w:rFonts w:ascii="David" w:hAnsi="David"/>
          <w:b/>
          <w:bCs/>
          <w:sz w:val="26"/>
          <w:szCs w:val="26"/>
          <w:rtl/>
        </w:rPr>
        <w:t xml:space="preserve"> מ- </w:t>
      </w:r>
      <w:r w:rsidRPr="008B4BC9">
        <w:rPr>
          <w:rFonts w:ascii="David" w:hAnsi="David"/>
          <w:b/>
          <w:bCs/>
          <w:sz w:val="26"/>
          <w:szCs w:val="26"/>
        </w:rPr>
        <w:t>BVI</w:t>
      </w:r>
      <w:r w:rsidRPr="00486E8C">
        <w:rPr>
          <w:rFonts w:ascii="David" w:hAnsi="David" w:hint="cs"/>
          <w:sz w:val="26"/>
          <w:szCs w:val="26"/>
          <w:rtl/>
        </w:rPr>
        <w:t>" (</w:t>
      </w:r>
      <w:r>
        <w:rPr>
          <w:rFonts w:ascii="David" w:hAnsi="David" w:hint="cs"/>
          <w:sz w:val="26"/>
          <w:szCs w:val="26"/>
          <w:rtl/>
        </w:rPr>
        <w:t>סעיפים</w:t>
      </w:r>
      <w:r w:rsidRPr="00486E8C">
        <w:rPr>
          <w:rFonts w:ascii="David" w:hAnsi="David" w:hint="cs"/>
          <w:sz w:val="26"/>
          <w:szCs w:val="26"/>
          <w:rtl/>
        </w:rPr>
        <w:t xml:space="preserve"> 10</w:t>
      </w:r>
      <w:r>
        <w:rPr>
          <w:rFonts w:ascii="David" w:hAnsi="David" w:hint="cs"/>
          <w:sz w:val="26"/>
          <w:szCs w:val="26"/>
          <w:rtl/>
        </w:rPr>
        <w:t xml:space="preserve"> ו-12 להודעה המפרשת את נימוקי השומה</w:t>
      </w:r>
      <w:r w:rsidRPr="00486E8C">
        <w:rPr>
          <w:rFonts w:ascii="David" w:hAnsi="David" w:hint="cs"/>
          <w:sz w:val="26"/>
          <w:szCs w:val="26"/>
          <w:rtl/>
        </w:rPr>
        <w:t xml:space="preserve">). </w:t>
      </w:r>
    </w:p>
    <w:p w:rsidR="00962986" w:rsidRPr="006C1547" w:rsidRDefault="00962986" w:rsidP="00367817">
      <w:pPr>
        <w:numPr>
          <w:ilvl w:val="0"/>
          <w:numId w:val="4"/>
        </w:numPr>
        <w:spacing w:before="240" w:line="360" w:lineRule="auto"/>
        <w:jc w:val="both"/>
        <w:rPr>
          <w:rFonts w:ascii="David" w:hAnsi="David"/>
          <w:sz w:val="26"/>
          <w:szCs w:val="26"/>
        </w:rPr>
      </w:pPr>
      <w:r>
        <w:rPr>
          <w:rFonts w:ascii="David" w:hAnsi="David" w:hint="cs"/>
          <w:sz w:val="26"/>
          <w:szCs w:val="26"/>
          <w:rtl/>
        </w:rPr>
        <w:lastRenderedPageBreak/>
        <w:t>המערערת טוענת</w:t>
      </w:r>
      <w:r w:rsidRPr="00046E1B">
        <w:rPr>
          <w:rFonts w:ascii="David" w:hAnsi="David" w:hint="cs"/>
          <w:sz w:val="26"/>
          <w:szCs w:val="26"/>
          <w:rtl/>
        </w:rPr>
        <w:t xml:space="preserve"> כי המשיב </w:t>
      </w:r>
      <w:r>
        <w:rPr>
          <w:rFonts w:ascii="David" w:hAnsi="David" w:hint="cs"/>
          <w:sz w:val="26"/>
          <w:szCs w:val="26"/>
          <w:rtl/>
        </w:rPr>
        <w:t xml:space="preserve">שזר לאורך כתבי טענותיו </w:t>
      </w:r>
      <w:r w:rsidRPr="00046E1B">
        <w:rPr>
          <w:rFonts w:ascii="David" w:hAnsi="David" w:hint="cs"/>
          <w:sz w:val="26"/>
          <w:szCs w:val="26"/>
          <w:rtl/>
        </w:rPr>
        <w:t>מטבעות לשון</w:t>
      </w:r>
      <w:r>
        <w:rPr>
          <w:rFonts w:ascii="David" w:hAnsi="David" w:hint="cs"/>
          <w:sz w:val="26"/>
          <w:szCs w:val="26"/>
          <w:rtl/>
        </w:rPr>
        <w:t xml:space="preserve"> המתייחסים בדרך כלל לטענת מלאכותיו</w:t>
      </w:r>
      <w:r>
        <w:rPr>
          <w:rFonts w:ascii="David" w:hAnsi="David" w:hint="eastAsia"/>
          <w:sz w:val="26"/>
          <w:szCs w:val="26"/>
          <w:rtl/>
        </w:rPr>
        <w:t>ת</w:t>
      </w:r>
      <w:r>
        <w:rPr>
          <w:rFonts w:ascii="David" w:hAnsi="David" w:hint="cs"/>
          <w:sz w:val="26"/>
          <w:szCs w:val="26"/>
          <w:rtl/>
        </w:rPr>
        <w:t>, כגון</w:t>
      </w:r>
      <w:r w:rsidRPr="00046E1B">
        <w:rPr>
          <w:rFonts w:ascii="David" w:hAnsi="David" w:hint="cs"/>
          <w:sz w:val="26"/>
          <w:szCs w:val="26"/>
          <w:rtl/>
        </w:rPr>
        <w:t xml:space="preserve"> "ניצול אמנת מס", "היעדר טעם מסחרי" ו-"הפחתת מס בלתי נאותה". </w:t>
      </w:r>
      <w:r>
        <w:rPr>
          <w:rFonts w:ascii="David" w:hAnsi="David" w:hint="cs"/>
          <w:sz w:val="26"/>
          <w:szCs w:val="26"/>
          <w:rtl/>
        </w:rPr>
        <w:t>לא מצאתי כי יש ממש בטענה</w:t>
      </w:r>
      <w:r w:rsidR="00194E81">
        <w:rPr>
          <w:rFonts w:ascii="David" w:hAnsi="David" w:hint="cs"/>
          <w:sz w:val="26"/>
          <w:szCs w:val="26"/>
          <w:rtl/>
        </w:rPr>
        <w:t xml:space="preserve"> זו</w:t>
      </w:r>
      <w:r w:rsidRPr="00046E1B">
        <w:rPr>
          <w:rFonts w:ascii="David" w:hAnsi="David" w:hint="cs"/>
          <w:sz w:val="26"/>
          <w:szCs w:val="26"/>
          <w:rtl/>
        </w:rPr>
        <w:t xml:space="preserve">. </w:t>
      </w:r>
      <w:r>
        <w:rPr>
          <w:rFonts w:ascii="David" w:hAnsi="David" w:hint="cs"/>
          <w:sz w:val="26"/>
          <w:szCs w:val="26"/>
          <w:rtl/>
        </w:rPr>
        <w:t xml:space="preserve">המשיב </w:t>
      </w:r>
      <w:r w:rsidR="00194E81">
        <w:rPr>
          <w:rFonts w:ascii="David" w:hAnsi="David" w:hint="cs"/>
          <w:sz w:val="26"/>
          <w:szCs w:val="26"/>
          <w:rtl/>
        </w:rPr>
        <w:t xml:space="preserve">רשאי </w:t>
      </w:r>
      <w:r>
        <w:rPr>
          <w:rFonts w:ascii="David" w:hAnsi="David" w:hint="cs"/>
          <w:sz w:val="26"/>
          <w:szCs w:val="26"/>
          <w:rtl/>
        </w:rPr>
        <w:t>לטעון</w:t>
      </w:r>
      <w:r w:rsidRPr="00046E1B">
        <w:rPr>
          <w:rFonts w:ascii="David" w:hAnsi="David" w:hint="cs"/>
          <w:sz w:val="26"/>
          <w:szCs w:val="26"/>
          <w:rtl/>
        </w:rPr>
        <w:t xml:space="preserve"> </w:t>
      </w:r>
      <w:r>
        <w:rPr>
          <w:rFonts w:ascii="David" w:hAnsi="David" w:hint="cs"/>
          <w:sz w:val="26"/>
          <w:szCs w:val="26"/>
          <w:rtl/>
        </w:rPr>
        <w:t>לסיווג שונה אם נוכח</w:t>
      </w:r>
      <w:r w:rsidRPr="00046E1B">
        <w:rPr>
          <w:rFonts w:ascii="David" w:hAnsi="David" w:hint="cs"/>
          <w:sz w:val="26"/>
          <w:szCs w:val="26"/>
          <w:rtl/>
        </w:rPr>
        <w:t xml:space="preserve"> ש</w:t>
      </w:r>
      <w:r w:rsidR="001B655C">
        <w:rPr>
          <w:rFonts w:ascii="David" w:hAnsi="David" w:hint="cs"/>
          <w:sz w:val="26"/>
          <w:szCs w:val="26"/>
          <w:rtl/>
        </w:rPr>
        <w:t>ה</w:t>
      </w:r>
      <w:r w:rsidRPr="00046E1B">
        <w:rPr>
          <w:rFonts w:ascii="David" w:hAnsi="David" w:hint="cs"/>
          <w:sz w:val="26"/>
          <w:szCs w:val="26"/>
          <w:rtl/>
        </w:rPr>
        <w:t xml:space="preserve">עסקה המוצגת בפניו במישור העובדתי שונה מכפי שהוצגה, הגם שנעשתה, לכאורה, מטעמי מס בלתי נאותים. </w:t>
      </w:r>
    </w:p>
    <w:p w:rsidR="00962986" w:rsidRPr="00F20A0D" w:rsidRDefault="00962986" w:rsidP="00F20A0D">
      <w:pPr>
        <w:numPr>
          <w:ilvl w:val="0"/>
          <w:numId w:val="4"/>
        </w:numPr>
        <w:spacing w:before="240" w:line="360" w:lineRule="auto"/>
        <w:jc w:val="both"/>
        <w:rPr>
          <w:rFonts w:ascii="David" w:hAnsi="David"/>
          <w:sz w:val="26"/>
          <w:szCs w:val="26"/>
        </w:rPr>
      </w:pPr>
      <w:r w:rsidRPr="00367817">
        <w:rPr>
          <w:rFonts w:ascii="David" w:hAnsi="David" w:hint="cs"/>
          <w:sz w:val="26"/>
          <w:szCs w:val="26"/>
          <w:rtl/>
        </w:rPr>
        <w:t xml:space="preserve">בכל הנוגע למישור המהותי, </w:t>
      </w:r>
      <w:r w:rsidRPr="00367817">
        <w:rPr>
          <w:rFonts w:ascii="David" w:hAnsi="David"/>
          <w:sz w:val="26"/>
          <w:szCs w:val="26"/>
          <w:rtl/>
        </w:rPr>
        <w:t xml:space="preserve">טענתו </w:t>
      </w:r>
      <w:r w:rsidRPr="00367817">
        <w:rPr>
          <w:rFonts w:ascii="David" w:hAnsi="David" w:hint="cs"/>
          <w:sz w:val="26"/>
          <w:szCs w:val="26"/>
          <w:rtl/>
        </w:rPr>
        <w:t xml:space="preserve">העיקרית </w:t>
      </w:r>
      <w:r w:rsidRPr="00367817">
        <w:rPr>
          <w:rFonts w:ascii="David" w:hAnsi="David"/>
          <w:sz w:val="26"/>
          <w:szCs w:val="26"/>
          <w:rtl/>
        </w:rPr>
        <w:t xml:space="preserve">של המשיב היא כי </w:t>
      </w:r>
      <w:r w:rsidRPr="00367817">
        <w:rPr>
          <w:rFonts w:ascii="David" w:hAnsi="David" w:hint="cs"/>
          <w:sz w:val="26"/>
          <w:szCs w:val="26"/>
          <w:rtl/>
        </w:rPr>
        <w:t>חברת האם היא הנושה האמיתית של ה</w:t>
      </w:r>
      <w:r w:rsidR="00194E81" w:rsidRPr="00367817">
        <w:rPr>
          <w:rFonts w:ascii="David" w:hAnsi="David" w:hint="cs"/>
          <w:sz w:val="26"/>
          <w:szCs w:val="26"/>
          <w:rtl/>
        </w:rPr>
        <w:t>מערערת</w:t>
      </w:r>
      <w:r w:rsidRPr="00367817">
        <w:rPr>
          <w:rFonts w:ascii="David" w:hAnsi="David" w:hint="cs"/>
          <w:sz w:val="26"/>
          <w:szCs w:val="26"/>
          <w:rtl/>
        </w:rPr>
        <w:t xml:space="preserve"> ולכן הצדדים הנכונים להסכם ההלוואה הם </w:t>
      </w:r>
      <w:r w:rsidR="00367817">
        <w:rPr>
          <w:rFonts w:ascii="David" w:hAnsi="David" w:hint="cs"/>
          <w:sz w:val="26"/>
          <w:szCs w:val="26"/>
          <w:rtl/>
        </w:rPr>
        <w:t>המערערת</w:t>
      </w:r>
      <w:r w:rsidRPr="00367817">
        <w:rPr>
          <w:rFonts w:ascii="David" w:hAnsi="David" w:hint="cs"/>
          <w:sz w:val="26"/>
          <w:szCs w:val="26"/>
          <w:rtl/>
        </w:rPr>
        <w:t xml:space="preserve"> וחבר</w:t>
      </w:r>
      <w:r w:rsidR="00F20A0D">
        <w:rPr>
          <w:rFonts w:ascii="David" w:hAnsi="David" w:hint="cs"/>
          <w:sz w:val="26"/>
          <w:szCs w:val="26"/>
          <w:rtl/>
        </w:rPr>
        <w:t xml:space="preserve">ת האם. מדובר בטענה לסיווג שונה </w:t>
      </w:r>
      <w:r w:rsidR="00F20A0D">
        <w:rPr>
          <w:rFonts w:ascii="David" w:hAnsi="David"/>
          <w:sz w:val="26"/>
          <w:szCs w:val="26"/>
          <w:rtl/>
        </w:rPr>
        <w:t>–</w:t>
      </w:r>
      <w:r w:rsidR="00F20A0D">
        <w:rPr>
          <w:rFonts w:ascii="David" w:hAnsi="David" w:hint="cs"/>
          <w:sz w:val="26"/>
          <w:szCs w:val="26"/>
          <w:rtl/>
        </w:rPr>
        <w:t xml:space="preserve"> </w:t>
      </w:r>
      <w:r w:rsidRPr="00F20A0D">
        <w:rPr>
          <w:rFonts w:ascii="David" w:hAnsi="David" w:hint="cs"/>
          <w:sz w:val="26"/>
          <w:szCs w:val="26"/>
          <w:rtl/>
        </w:rPr>
        <w:t>המשיב חולק על המצג העובדתי המתואר בהסכם המחאת ההלוואה.</w:t>
      </w:r>
    </w:p>
    <w:p w:rsidR="00962986" w:rsidRDefault="00962986" w:rsidP="00962986">
      <w:pPr>
        <w:numPr>
          <w:ilvl w:val="0"/>
          <w:numId w:val="4"/>
        </w:numPr>
        <w:spacing w:before="240" w:line="360" w:lineRule="auto"/>
        <w:jc w:val="both"/>
        <w:rPr>
          <w:rFonts w:ascii="David" w:hAnsi="David"/>
          <w:sz w:val="26"/>
          <w:szCs w:val="26"/>
        </w:rPr>
      </w:pPr>
      <w:r w:rsidRPr="00F4783C">
        <w:rPr>
          <w:rFonts w:ascii="David" w:hAnsi="David"/>
          <w:sz w:val="26"/>
          <w:szCs w:val="26"/>
          <w:rtl/>
        </w:rPr>
        <w:t>לצורך העניין, לו המשיב היה</w:t>
      </w:r>
      <w:r w:rsidRPr="00F4783C">
        <w:rPr>
          <w:rFonts w:ascii="David" w:hAnsi="David" w:hint="cs"/>
          <w:sz w:val="26"/>
          <w:szCs w:val="26"/>
          <w:rtl/>
        </w:rPr>
        <w:t xml:space="preserve"> מקבל את המצג העובדתי של המערערת והיה</w:t>
      </w:r>
      <w:r w:rsidRPr="00F4783C">
        <w:rPr>
          <w:rFonts w:ascii="David" w:hAnsi="David"/>
          <w:sz w:val="26"/>
          <w:szCs w:val="26"/>
          <w:rtl/>
        </w:rPr>
        <w:t xml:space="preserve"> בדעה כי </w:t>
      </w:r>
      <w:r w:rsidRPr="00F4783C">
        <w:rPr>
          <w:rFonts w:ascii="David" w:hAnsi="David" w:hint="cs"/>
          <w:sz w:val="26"/>
          <w:szCs w:val="26"/>
          <w:rtl/>
        </w:rPr>
        <w:t xml:space="preserve">החברה </w:t>
      </w:r>
      <w:r>
        <w:rPr>
          <w:rFonts w:ascii="David" w:hAnsi="David" w:hint="cs"/>
          <w:sz w:val="26"/>
          <w:szCs w:val="26"/>
          <w:rtl/>
        </w:rPr>
        <w:t>מ</w:t>
      </w:r>
      <w:r w:rsidRPr="00F4783C">
        <w:rPr>
          <w:rFonts w:ascii="David" w:hAnsi="David" w:hint="cs"/>
          <w:sz w:val="26"/>
          <w:szCs w:val="26"/>
          <w:rtl/>
        </w:rPr>
        <w:t>לוקסמבורג היא</w:t>
      </w:r>
      <w:r w:rsidRPr="00F4783C">
        <w:rPr>
          <w:rFonts w:ascii="David" w:hAnsi="David"/>
          <w:sz w:val="26"/>
          <w:szCs w:val="26"/>
          <w:rtl/>
        </w:rPr>
        <w:t xml:space="preserve"> </w:t>
      </w:r>
      <w:r w:rsidRPr="00F4783C">
        <w:rPr>
          <w:rFonts w:ascii="David" w:hAnsi="David" w:hint="cs"/>
          <w:sz w:val="26"/>
          <w:szCs w:val="26"/>
          <w:rtl/>
        </w:rPr>
        <w:t>הנושה</w:t>
      </w:r>
      <w:r>
        <w:rPr>
          <w:rFonts w:ascii="David" w:hAnsi="David" w:hint="cs"/>
          <w:sz w:val="26"/>
          <w:szCs w:val="26"/>
          <w:rtl/>
        </w:rPr>
        <w:t>, היא זו ש</w:t>
      </w:r>
      <w:r w:rsidRPr="00F4783C">
        <w:rPr>
          <w:rFonts w:ascii="David" w:hAnsi="David" w:hint="cs"/>
          <w:sz w:val="26"/>
          <w:szCs w:val="26"/>
          <w:rtl/>
        </w:rPr>
        <w:t>נושאת במימון החברה,</w:t>
      </w:r>
      <w:r w:rsidRPr="00F4783C">
        <w:rPr>
          <w:rFonts w:ascii="David" w:hAnsi="David"/>
          <w:sz w:val="26"/>
          <w:szCs w:val="26"/>
          <w:rtl/>
        </w:rPr>
        <w:t xml:space="preserve"> </w:t>
      </w:r>
      <w:r w:rsidR="00F20A0D">
        <w:rPr>
          <w:rFonts w:ascii="David" w:hAnsi="David" w:hint="cs"/>
          <w:sz w:val="26"/>
          <w:szCs w:val="26"/>
          <w:rtl/>
        </w:rPr>
        <w:t xml:space="preserve">ובהתאם </w:t>
      </w:r>
      <w:r w:rsidR="00F20A0D">
        <w:rPr>
          <w:rFonts w:ascii="David" w:hAnsi="David"/>
          <w:sz w:val="26"/>
          <w:szCs w:val="26"/>
          <w:rtl/>
        </w:rPr>
        <w:t>–</w:t>
      </w:r>
      <w:r>
        <w:rPr>
          <w:rFonts w:ascii="David" w:hAnsi="David" w:hint="cs"/>
          <w:sz w:val="26"/>
          <w:szCs w:val="26"/>
          <w:rtl/>
        </w:rPr>
        <w:t xml:space="preserve"> כי אכן בוצעה המחאה כלכלית של ההלוואה, </w:t>
      </w:r>
      <w:r w:rsidRPr="00F4783C">
        <w:rPr>
          <w:rFonts w:ascii="David" w:hAnsi="David" w:hint="cs"/>
          <w:sz w:val="26"/>
          <w:szCs w:val="26"/>
          <w:rtl/>
        </w:rPr>
        <w:t>אז ורק אז לא היה מנוס מהידרשות לכלים המיוחדים והשיוריים שמעניק סעיף 86 לפקודה כדי לנטרל את יתרון המס שנצמח לשיטתו באופן בלתי נאות</w:t>
      </w:r>
      <w:r w:rsidRPr="00F4783C">
        <w:rPr>
          <w:rFonts w:ascii="David" w:hAnsi="David"/>
          <w:sz w:val="26"/>
          <w:szCs w:val="26"/>
          <w:rtl/>
        </w:rPr>
        <w:t>.</w:t>
      </w:r>
      <w:r>
        <w:rPr>
          <w:rFonts w:ascii="David" w:hAnsi="David" w:hint="cs"/>
          <w:sz w:val="26"/>
          <w:szCs w:val="26"/>
          <w:rtl/>
        </w:rPr>
        <w:t xml:space="preserve"> </w:t>
      </w:r>
    </w:p>
    <w:p w:rsidR="00962986" w:rsidRDefault="00962986" w:rsidP="00806356">
      <w:pPr>
        <w:numPr>
          <w:ilvl w:val="0"/>
          <w:numId w:val="4"/>
        </w:numPr>
        <w:spacing w:before="240" w:line="360" w:lineRule="auto"/>
        <w:jc w:val="both"/>
        <w:rPr>
          <w:rFonts w:ascii="Century" w:hAnsi="Century" w:cs="FrankRuehl"/>
          <w:spacing w:val="10"/>
          <w:szCs w:val="28"/>
        </w:rPr>
      </w:pPr>
      <w:r w:rsidRPr="003F1677">
        <w:rPr>
          <w:rFonts w:ascii="David" w:hAnsi="David"/>
          <w:sz w:val="26"/>
          <w:szCs w:val="26"/>
          <w:rtl/>
        </w:rPr>
        <w:t xml:space="preserve">אולם, שעה שהמשיב טוען למציאות עובדתית-משפטית שונה, לפיה </w:t>
      </w:r>
      <w:r w:rsidRPr="003F1677">
        <w:rPr>
          <w:rFonts w:ascii="David" w:hAnsi="David" w:hint="cs"/>
          <w:sz w:val="26"/>
          <w:szCs w:val="26"/>
          <w:rtl/>
        </w:rPr>
        <w:t>חברת האם</w:t>
      </w:r>
      <w:r w:rsidRPr="003F1677">
        <w:rPr>
          <w:rFonts w:ascii="David" w:hAnsi="David"/>
          <w:sz w:val="26"/>
          <w:szCs w:val="26"/>
          <w:rtl/>
        </w:rPr>
        <w:t xml:space="preserve"> היא </w:t>
      </w:r>
      <w:r w:rsidRPr="003F1677">
        <w:rPr>
          <w:rFonts w:ascii="David" w:hAnsi="David" w:hint="cs"/>
          <w:sz w:val="26"/>
          <w:szCs w:val="26"/>
          <w:rtl/>
        </w:rPr>
        <w:t>הנושה האמיתית של ה</w:t>
      </w:r>
      <w:r w:rsidR="001B655C">
        <w:rPr>
          <w:rFonts w:ascii="David" w:hAnsi="David" w:hint="cs"/>
          <w:sz w:val="26"/>
          <w:szCs w:val="26"/>
          <w:rtl/>
        </w:rPr>
        <w:t>מערערת</w:t>
      </w:r>
      <w:r w:rsidRPr="003F1677">
        <w:rPr>
          <w:rFonts w:ascii="David" w:hAnsi="David" w:hint="cs"/>
          <w:sz w:val="26"/>
          <w:szCs w:val="26"/>
          <w:rtl/>
        </w:rPr>
        <w:t xml:space="preserve"> והנהנית מההטבות הכלכליות בגין מתן ההלוואה</w:t>
      </w:r>
      <w:r w:rsidRPr="003F1677">
        <w:rPr>
          <w:rFonts w:ascii="David" w:hAnsi="David"/>
          <w:sz w:val="26"/>
          <w:szCs w:val="26"/>
          <w:rtl/>
        </w:rPr>
        <w:t xml:space="preserve">, הרי שמדובר בטענה לסיווג שונה (וראו עמ' </w:t>
      </w:r>
      <w:r w:rsidRPr="003F1677">
        <w:rPr>
          <w:rFonts w:ascii="David" w:hAnsi="David" w:hint="cs"/>
          <w:sz w:val="26"/>
          <w:szCs w:val="26"/>
          <w:rtl/>
        </w:rPr>
        <w:t>1</w:t>
      </w:r>
      <w:r w:rsidRPr="003F1677">
        <w:rPr>
          <w:rFonts w:ascii="David" w:hAnsi="David"/>
          <w:sz w:val="26"/>
          <w:szCs w:val="26"/>
          <w:rtl/>
        </w:rPr>
        <w:t xml:space="preserve">, ש' </w:t>
      </w:r>
      <w:r w:rsidRPr="003F1677">
        <w:rPr>
          <w:rFonts w:ascii="David" w:hAnsi="David" w:hint="cs"/>
          <w:sz w:val="26"/>
          <w:szCs w:val="26"/>
          <w:rtl/>
        </w:rPr>
        <w:t>18</w:t>
      </w:r>
      <w:r w:rsidRPr="003F1677">
        <w:rPr>
          <w:rFonts w:ascii="David" w:hAnsi="David"/>
          <w:sz w:val="26"/>
          <w:szCs w:val="26"/>
          <w:rtl/>
        </w:rPr>
        <w:t xml:space="preserve"> – </w:t>
      </w:r>
      <w:r w:rsidRPr="003F1677">
        <w:rPr>
          <w:rFonts w:ascii="David" w:hAnsi="David" w:hint="cs"/>
          <w:sz w:val="26"/>
          <w:szCs w:val="26"/>
          <w:rtl/>
        </w:rPr>
        <w:t>33</w:t>
      </w:r>
      <w:r w:rsidRPr="003F1677">
        <w:rPr>
          <w:rFonts w:ascii="David" w:hAnsi="David"/>
          <w:sz w:val="26"/>
          <w:szCs w:val="26"/>
          <w:rtl/>
        </w:rPr>
        <w:t xml:space="preserve"> לפרוטוקול דיון קדם המשפט).</w:t>
      </w:r>
      <w:r w:rsidRPr="003F1677">
        <w:rPr>
          <w:rFonts w:ascii="David" w:hAnsi="David" w:hint="cs"/>
          <w:sz w:val="26"/>
          <w:szCs w:val="26"/>
          <w:rtl/>
        </w:rPr>
        <w:t xml:space="preserve"> במצב דברים זה, מן הראוי שתתכבד המערערת ותסביר א</w:t>
      </w:r>
      <w:r>
        <w:rPr>
          <w:rFonts w:ascii="David" w:hAnsi="David" w:hint="cs"/>
          <w:sz w:val="26"/>
          <w:szCs w:val="26"/>
          <w:rtl/>
        </w:rPr>
        <w:t xml:space="preserve">יך החוזה שהוצג משקף נאמנה את </w:t>
      </w:r>
      <w:r w:rsidRPr="003F1677">
        <w:rPr>
          <w:rFonts w:ascii="David" w:hAnsi="David" w:hint="cs"/>
          <w:sz w:val="26"/>
          <w:szCs w:val="26"/>
          <w:rtl/>
        </w:rPr>
        <w:t xml:space="preserve">שנעשה בפועל, קרי </w:t>
      </w:r>
      <w:r w:rsidRPr="003F1677">
        <w:rPr>
          <w:rFonts w:ascii="David" w:hAnsi="David"/>
          <w:sz w:val="26"/>
          <w:szCs w:val="26"/>
          <w:rtl/>
        </w:rPr>
        <w:t>–</w:t>
      </w:r>
      <w:r w:rsidRPr="003F1677">
        <w:rPr>
          <w:rFonts w:ascii="David" w:hAnsi="David" w:hint="cs"/>
          <w:sz w:val="26"/>
          <w:szCs w:val="26"/>
          <w:rtl/>
        </w:rPr>
        <w:t xml:space="preserve"> כי סיכוני הלווה ולצידן </w:t>
      </w:r>
      <w:r>
        <w:rPr>
          <w:rFonts w:ascii="David" w:hAnsi="David" w:hint="cs"/>
          <w:sz w:val="26"/>
          <w:szCs w:val="26"/>
          <w:rtl/>
        </w:rPr>
        <w:t>תשואות</w:t>
      </w:r>
      <w:r w:rsidRPr="003F1677">
        <w:rPr>
          <w:rFonts w:ascii="David" w:hAnsi="David" w:hint="cs"/>
          <w:sz w:val="26"/>
          <w:szCs w:val="26"/>
          <w:rtl/>
        </w:rPr>
        <w:t xml:space="preserve"> המלווה אכן עברו לידיים </w:t>
      </w:r>
      <w:r w:rsidR="009E0E27">
        <w:rPr>
          <w:rFonts w:ascii="David" w:hAnsi="David" w:hint="cs"/>
          <w:sz w:val="26"/>
          <w:szCs w:val="26"/>
          <w:rtl/>
        </w:rPr>
        <w:t>כלכליות</w:t>
      </w:r>
      <w:r w:rsidRPr="003F1677">
        <w:rPr>
          <w:rFonts w:ascii="David" w:hAnsi="David" w:hint="cs"/>
          <w:sz w:val="26"/>
          <w:szCs w:val="26"/>
          <w:rtl/>
        </w:rPr>
        <w:t xml:space="preserve"> שונות</w:t>
      </w:r>
      <w:r>
        <w:rPr>
          <w:rFonts w:ascii="David" w:hAnsi="David" w:hint="cs"/>
          <w:sz w:val="26"/>
          <w:szCs w:val="26"/>
          <w:rtl/>
        </w:rPr>
        <w:t>.</w:t>
      </w:r>
    </w:p>
    <w:p w:rsidR="00962986" w:rsidRPr="00850D39" w:rsidRDefault="00962986" w:rsidP="00962986">
      <w:pPr>
        <w:spacing w:before="240" w:line="360" w:lineRule="auto"/>
        <w:ind w:left="360"/>
        <w:jc w:val="both"/>
        <w:rPr>
          <w:rFonts w:ascii="David" w:hAnsi="David"/>
          <w:b/>
          <w:bCs/>
          <w:sz w:val="28"/>
          <w:szCs w:val="28"/>
          <w:u w:val="single"/>
        </w:rPr>
      </w:pPr>
      <w:r w:rsidRPr="00850D39">
        <w:rPr>
          <w:rFonts w:ascii="David" w:hAnsi="David" w:hint="cs"/>
          <w:b/>
          <w:bCs/>
          <w:sz w:val="28"/>
          <w:szCs w:val="28"/>
          <w:u w:val="single"/>
          <w:rtl/>
        </w:rPr>
        <w:t>סוף דבר</w:t>
      </w:r>
    </w:p>
    <w:p w:rsidR="00962986" w:rsidRDefault="00962986" w:rsidP="00962986">
      <w:pPr>
        <w:pStyle w:val="ab"/>
        <w:numPr>
          <w:ilvl w:val="0"/>
          <w:numId w:val="4"/>
        </w:numPr>
        <w:spacing w:before="240" w:line="360" w:lineRule="auto"/>
        <w:contextualSpacing w:val="0"/>
        <w:jc w:val="both"/>
        <w:rPr>
          <w:rFonts w:ascii="David" w:hAnsi="David"/>
          <w:sz w:val="26"/>
          <w:szCs w:val="26"/>
        </w:rPr>
      </w:pPr>
      <w:r>
        <w:rPr>
          <w:rFonts w:ascii="David" w:hAnsi="David" w:hint="cs"/>
          <w:sz w:val="26"/>
          <w:szCs w:val="26"/>
          <w:rtl/>
        </w:rPr>
        <w:t>לפני סיום אציין כי המערערת הגישה "תשובה לתגובה מטעם המשיב", אולם בהתאם לתקנות סדר האזרחי, התשע"ט-2018, למערערת אין זכות קנויה להגשת תגובה לתשובת המשיב, ועל כן לא התייחסתי למסמך זה במסגרת החלטה זו.</w:t>
      </w:r>
    </w:p>
    <w:p w:rsidR="00EF55C1" w:rsidRDefault="00962986" w:rsidP="00962986">
      <w:pPr>
        <w:pStyle w:val="ab"/>
        <w:numPr>
          <w:ilvl w:val="0"/>
          <w:numId w:val="4"/>
        </w:numPr>
        <w:spacing w:before="240" w:line="360" w:lineRule="auto"/>
        <w:contextualSpacing w:val="0"/>
        <w:jc w:val="both"/>
        <w:rPr>
          <w:rFonts w:ascii="David" w:hAnsi="David"/>
          <w:sz w:val="26"/>
          <w:szCs w:val="26"/>
        </w:rPr>
      </w:pPr>
      <w:r>
        <w:rPr>
          <w:rFonts w:ascii="David" w:hAnsi="David" w:hint="cs"/>
          <w:sz w:val="26"/>
          <w:szCs w:val="26"/>
          <w:rtl/>
        </w:rPr>
        <w:t xml:space="preserve">לסיכום, </w:t>
      </w:r>
      <w:r w:rsidRPr="008B4BC9">
        <w:rPr>
          <w:rFonts w:ascii="David" w:hAnsi="David" w:hint="eastAsia"/>
          <w:sz w:val="26"/>
          <w:szCs w:val="26"/>
          <w:rtl/>
        </w:rPr>
        <w:t>הבקשה</w:t>
      </w:r>
      <w:r w:rsidRPr="008B4BC9">
        <w:rPr>
          <w:rFonts w:ascii="David" w:hAnsi="David"/>
          <w:sz w:val="26"/>
          <w:szCs w:val="26"/>
          <w:rtl/>
        </w:rPr>
        <w:t xml:space="preserve"> </w:t>
      </w:r>
      <w:r w:rsidRPr="008B4BC9">
        <w:rPr>
          <w:rFonts w:ascii="David" w:hAnsi="David" w:hint="eastAsia"/>
          <w:sz w:val="26"/>
          <w:szCs w:val="26"/>
          <w:rtl/>
        </w:rPr>
        <w:t>נדחית</w:t>
      </w:r>
      <w:r w:rsidRPr="008B4BC9">
        <w:rPr>
          <w:rFonts w:ascii="David" w:hAnsi="David"/>
          <w:sz w:val="26"/>
          <w:szCs w:val="26"/>
          <w:rtl/>
        </w:rPr>
        <w:t xml:space="preserve">. </w:t>
      </w:r>
    </w:p>
    <w:p w:rsidR="00962986" w:rsidRDefault="00962986" w:rsidP="005F5311">
      <w:pPr>
        <w:pStyle w:val="ab"/>
        <w:numPr>
          <w:ilvl w:val="0"/>
          <w:numId w:val="4"/>
        </w:numPr>
        <w:spacing w:before="240" w:line="360" w:lineRule="auto"/>
        <w:contextualSpacing w:val="0"/>
        <w:jc w:val="both"/>
        <w:rPr>
          <w:rFonts w:ascii="David" w:hAnsi="David"/>
          <w:sz w:val="26"/>
          <w:szCs w:val="26"/>
        </w:rPr>
      </w:pPr>
      <w:r w:rsidRPr="008B4BC9">
        <w:rPr>
          <w:rFonts w:ascii="David" w:hAnsi="David" w:hint="eastAsia"/>
          <w:sz w:val="26"/>
          <w:szCs w:val="26"/>
          <w:rtl/>
        </w:rPr>
        <w:t>המערערת</w:t>
      </w:r>
      <w:r w:rsidRPr="008B4BC9">
        <w:rPr>
          <w:rFonts w:ascii="David" w:hAnsi="David"/>
          <w:sz w:val="26"/>
          <w:szCs w:val="26"/>
          <w:rtl/>
        </w:rPr>
        <w:t xml:space="preserve"> </w:t>
      </w:r>
      <w:r w:rsidRPr="008B4BC9">
        <w:rPr>
          <w:rFonts w:ascii="David" w:hAnsi="David" w:hint="eastAsia"/>
          <w:sz w:val="26"/>
          <w:szCs w:val="26"/>
          <w:rtl/>
        </w:rPr>
        <w:t>תפתח</w:t>
      </w:r>
      <w:r w:rsidRPr="008B4BC9">
        <w:rPr>
          <w:rFonts w:ascii="David" w:hAnsi="David"/>
          <w:sz w:val="26"/>
          <w:szCs w:val="26"/>
          <w:rtl/>
        </w:rPr>
        <w:t xml:space="preserve"> </w:t>
      </w:r>
      <w:r w:rsidRPr="008B4BC9">
        <w:rPr>
          <w:rFonts w:ascii="David" w:hAnsi="David" w:hint="eastAsia"/>
          <w:sz w:val="26"/>
          <w:szCs w:val="26"/>
          <w:rtl/>
        </w:rPr>
        <w:t>בהבאת</w:t>
      </w:r>
      <w:r w:rsidRPr="008B4BC9">
        <w:rPr>
          <w:rFonts w:ascii="David" w:hAnsi="David"/>
          <w:sz w:val="26"/>
          <w:szCs w:val="26"/>
          <w:rtl/>
        </w:rPr>
        <w:t xml:space="preserve"> </w:t>
      </w:r>
      <w:r w:rsidRPr="008B4BC9">
        <w:rPr>
          <w:rFonts w:ascii="David" w:hAnsi="David" w:hint="eastAsia"/>
          <w:sz w:val="26"/>
          <w:szCs w:val="26"/>
          <w:rtl/>
        </w:rPr>
        <w:t>מסכת</w:t>
      </w:r>
      <w:r w:rsidRPr="008B4BC9">
        <w:rPr>
          <w:rFonts w:ascii="David" w:hAnsi="David"/>
          <w:sz w:val="26"/>
          <w:szCs w:val="26"/>
          <w:rtl/>
        </w:rPr>
        <w:t xml:space="preserve"> </w:t>
      </w:r>
      <w:r w:rsidRPr="008B4BC9">
        <w:rPr>
          <w:rFonts w:ascii="David" w:hAnsi="David" w:hint="eastAsia"/>
          <w:sz w:val="26"/>
          <w:szCs w:val="26"/>
          <w:rtl/>
        </w:rPr>
        <w:t>הראיות</w:t>
      </w:r>
      <w:r w:rsidRPr="008B4BC9">
        <w:rPr>
          <w:rFonts w:ascii="David" w:hAnsi="David"/>
          <w:sz w:val="26"/>
          <w:szCs w:val="26"/>
          <w:rtl/>
        </w:rPr>
        <w:t xml:space="preserve"> </w:t>
      </w:r>
      <w:r w:rsidRPr="008B4BC9">
        <w:rPr>
          <w:rFonts w:ascii="David" w:hAnsi="David" w:hint="eastAsia"/>
          <w:sz w:val="26"/>
          <w:szCs w:val="26"/>
          <w:rtl/>
        </w:rPr>
        <w:t>מטעמה</w:t>
      </w:r>
      <w:r w:rsidRPr="008B4BC9">
        <w:rPr>
          <w:rFonts w:ascii="David" w:hAnsi="David"/>
          <w:sz w:val="26"/>
          <w:szCs w:val="26"/>
          <w:rtl/>
        </w:rPr>
        <w:t xml:space="preserve"> </w:t>
      </w:r>
      <w:r w:rsidRPr="008B4BC9">
        <w:rPr>
          <w:rFonts w:ascii="David" w:hAnsi="David" w:hint="eastAsia"/>
          <w:sz w:val="26"/>
          <w:szCs w:val="26"/>
          <w:rtl/>
        </w:rPr>
        <w:t>ורק</w:t>
      </w:r>
      <w:r w:rsidRPr="008B4BC9">
        <w:rPr>
          <w:rFonts w:ascii="David" w:hAnsi="David"/>
          <w:sz w:val="26"/>
          <w:szCs w:val="26"/>
          <w:rtl/>
        </w:rPr>
        <w:t xml:space="preserve"> </w:t>
      </w:r>
      <w:r w:rsidRPr="008B4BC9">
        <w:rPr>
          <w:rFonts w:ascii="David" w:hAnsi="David" w:hint="eastAsia"/>
          <w:sz w:val="26"/>
          <w:szCs w:val="26"/>
          <w:rtl/>
        </w:rPr>
        <w:t>לאחר</w:t>
      </w:r>
      <w:r w:rsidRPr="008B4BC9">
        <w:rPr>
          <w:rFonts w:ascii="David" w:hAnsi="David"/>
          <w:sz w:val="26"/>
          <w:szCs w:val="26"/>
          <w:rtl/>
        </w:rPr>
        <w:t xml:space="preserve"> </w:t>
      </w:r>
      <w:r w:rsidRPr="008B4BC9">
        <w:rPr>
          <w:rFonts w:ascii="David" w:hAnsi="David" w:hint="eastAsia"/>
          <w:sz w:val="26"/>
          <w:szCs w:val="26"/>
          <w:rtl/>
        </w:rPr>
        <w:t>מכן</w:t>
      </w:r>
      <w:r w:rsidRPr="008B4BC9">
        <w:rPr>
          <w:rFonts w:ascii="David" w:hAnsi="David"/>
          <w:sz w:val="26"/>
          <w:szCs w:val="26"/>
          <w:rtl/>
        </w:rPr>
        <w:t xml:space="preserve"> </w:t>
      </w:r>
      <w:r w:rsidRPr="008B4BC9">
        <w:rPr>
          <w:rFonts w:ascii="David" w:hAnsi="David" w:hint="eastAsia"/>
          <w:sz w:val="26"/>
          <w:szCs w:val="26"/>
          <w:rtl/>
        </w:rPr>
        <w:t>יביא</w:t>
      </w:r>
      <w:r w:rsidRPr="008B4BC9">
        <w:rPr>
          <w:rFonts w:ascii="David" w:hAnsi="David"/>
          <w:sz w:val="26"/>
          <w:szCs w:val="26"/>
          <w:rtl/>
        </w:rPr>
        <w:t xml:space="preserve"> </w:t>
      </w:r>
      <w:r w:rsidRPr="008B4BC9">
        <w:rPr>
          <w:rFonts w:ascii="David" w:hAnsi="David" w:hint="eastAsia"/>
          <w:sz w:val="26"/>
          <w:szCs w:val="26"/>
          <w:rtl/>
        </w:rPr>
        <w:t>המשיב</w:t>
      </w:r>
      <w:r w:rsidRPr="008B4BC9">
        <w:rPr>
          <w:rFonts w:ascii="David" w:hAnsi="David"/>
          <w:sz w:val="26"/>
          <w:szCs w:val="26"/>
          <w:rtl/>
        </w:rPr>
        <w:t xml:space="preserve"> </w:t>
      </w:r>
      <w:r w:rsidRPr="008B4BC9">
        <w:rPr>
          <w:rFonts w:ascii="David" w:hAnsi="David" w:hint="eastAsia"/>
          <w:sz w:val="26"/>
          <w:szCs w:val="26"/>
          <w:rtl/>
        </w:rPr>
        <w:t>את</w:t>
      </w:r>
      <w:r w:rsidRPr="008B4BC9">
        <w:rPr>
          <w:rFonts w:ascii="David" w:hAnsi="David"/>
          <w:sz w:val="26"/>
          <w:szCs w:val="26"/>
          <w:rtl/>
        </w:rPr>
        <w:t xml:space="preserve"> </w:t>
      </w:r>
      <w:r w:rsidRPr="008B4BC9">
        <w:rPr>
          <w:rFonts w:ascii="David" w:hAnsi="David" w:hint="eastAsia"/>
          <w:sz w:val="26"/>
          <w:szCs w:val="26"/>
          <w:rtl/>
        </w:rPr>
        <w:t>ראיותיו</w:t>
      </w:r>
      <w:r w:rsidRPr="008B4BC9">
        <w:rPr>
          <w:rFonts w:ascii="David" w:hAnsi="David"/>
          <w:sz w:val="26"/>
          <w:szCs w:val="26"/>
          <w:rtl/>
        </w:rPr>
        <w:t>.</w:t>
      </w:r>
      <w:r w:rsidRPr="00204BEA">
        <w:rPr>
          <w:rtl/>
        </w:rPr>
        <w:t xml:space="preserve"> </w:t>
      </w:r>
      <w:r w:rsidRPr="008B4BC9">
        <w:rPr>
          <w:rFonts w:ascii="David" w:hAnsi="David" w:hint="eastAsia"/>
          <w:sz w:val="26"/>
          <w:szCs w:val="26"/>
          <w:rtl/>
        </w:rPr>
        <w:t>למותר</w:t>
      </w:r>
      <w:r w:rsidRPr="008B4BC9">
        <w:rPr>
          <w:rFonts w:ascii="David" w:hAnsi="David"/>
          <w:sz w:val="26"/>
          <w:szCs w:val="26"/>
          <w:rtl/>
        </w:rPr>
        <w:t xml:space="preserve"> </w:t>
      </w:r>
      <w:r w:rsidRPr="008B4BC9">
        <w:rPr>
          <w:rFonts w:ascii="David" w:hAnsi="David" w:hint="eastAsia"/>
          <w:sz w:val="26"/>
          <w:szCs w:val="26"/>
          <w:rtl/>
        </w:rPr>
        <w:t>לציין</w:t>
      </w:r>
      <w:r w:rsidRPr="008B4BC9">
        <w:rPr>
          <w:rFonts w:ascii="David" w:hAnsi="David"/>
          <w:sz w:val="26"/>
          <w:szCs w:val="26"/>
          <w:rtl/>
        </w:rPr>
        <w:t xml:space="preserve"> </w:t>
      </w:r>
      <w:r w:rsidRPr="008B4BC9">
        <w:rPr>
          <w:rFonts w:ascii="David" w:hAnsi="David" w:hint="eastAsia"/>
          <w:sz w:val="26"/>
          <w:szCs w:val="26"/>
          <w:rtl/>
        </w:rPr>
        <w:t>כי</w:t>
      </w:r>
      <w:r w:rsidRPr="008B4BC9">
        <w:rPr>
          <w:rFonts w:ascii="David" w:hAnsi="David"/>
          <w:sz w:val="26"/>
          <w:szCs w:val="26"/>
          <w:rtl/>
        </w:rPr>
        <w:t xml:space="preserve"> נטל השכנוע בטענת המלאכותיות כשלעצמה, </w:t>
      </w:r>
      <w:r w:rsidR="005F5311">
        <w:rPr>
          <w:rFonts w:ascii="David" w:hAnsi="David" w:hint="cs"/>
          <w:sz w:val="26"/>
          <w:szCs w:val="26"/>
          <w:rtl/>
        </w:rPr>
        <w:t>ככל ש</w:t>
      </w:r>
      <w:r w:rsidRPr="008B4BC9">
        <w:rPr>
          <w:rFonts w:ascii="David" w:hAnsi="David"/>
          <w:sz w:val="26"/>
          <w:szCs w:val="26"/>
          <w:rtl/>
        </w:rPr>
        <w:t xml:space="preserve">תידון, מוטל על כתפי המשיב. </w:t>
      </w:r>
    </w:p>
    <w:p w:rsidR="00962986" w:rsidRPr="008B4BC9" w:rsidRDefault="00962986" w:rsidP="005F5311">
      <w:pPr>
        <w:pStyle w:val="ab"/>
        <w:spacing w:before="240" w:line="360" w:lineRule="auto"/>
        <w:ind w:left="360"/>
        <w:contextualSpacing w:val="0"/>
        <w:jc w:val="both"/>
        <w:rPr>
          <w:rFonts w:ascii="David" w:hAnsi="David"/>
          <w:sz w:val="26"/>
          <w:szCs w:val="26"/>
        </w:rPr>
      </w:pPr>
      <w:r w:rsidRPr="008B4BC9">
        <w:rPr>
          <w:rFonts w:ascii="David" w:hAnsi="David"/>
          <w:sz w:val="26"/>
          <w:szCs w:val="26"/>
          <w:rtl/>
        </w:rPr>
        <w:lastRenderedPageBreak/>
        <w:t>המערערת תישא בהוצאות המשיב בגין הגשת הבקשה בסך ש</w:t>
      </w:r>
      <w:r w:rsidR="005F5311">
        <w:rPr>
          <w:rFonts w:ascii="David" w:hAnsi="David" w:hint="cs"/>
          <w:sz w:val="26"/>
          <w:szCs w:val="26"/>
          <w:rtl/>
        </w:rPr>
        <w:t>ל 3,500</w:t>
      </w:r>
      <w:r w:rsidRPr="008B4BC9">
        <w:rPr>
          <w:rFonts w:ascii="David" w:hAnsi="David"/>
          <w:sz w:val="26"/>
          <w:szCs w:val="26"/>
          <w:rtl/>
        </w:rPr>
        <w:t xml:space="preserve"> ש"ח.</w:t>
      </w:r>
    </w:p>
    <w:p w:rsidR="00962986" w:rsidRDefault="00962986" w:rsidP="00962986">
      <w:pPr>
        <w:spacing w:line="360" w:lineRule="auto"/>
        <w:jc w:val="both"/>
        <w:rPr>
          <w:rFonts w:ascii="Arial" w:hAnsi="Arial"/>
          <w:rtl/>
        </w:rPr>
      </w:pPr>
    </w:p>
    <w:p w:rsidR="0002177A" w:rsidRDefault="0002177A" w:rsidP="00420E12">
      <w:pPr>
        <w:spacing w:line="360" w:lineRule="auto"/>
        <w:jc w:val="both"/>
        <w:rPr>
          <w:rFonts w:ascii="Arial" w:hAnsi="Arial"/>
          <w:rtl/>
        </w:rPr>
      </w:pPr>
    </w:p>
    <w:p w:rsidR="0002177A"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ו' ניסן תשפ"ג</w:t>
          </w:r>
        </w:sdtContent>
      </w:sdt>
      <w:r>
        <w:rPr>
          <w:rFonts w:ascii="Arial" w:hAnsi="Arial"/>
          <w:rtl/>
        </w:rPr>
        <w:t xml:space="preserve">, </w:t>
      </w:r>
      <w:sdt>
        <w:sdtPr>
          <w:rPr>
            <w:rtl/>
          </w:rPr>
          <w:alias w:val="1456"/>
          <w:tag w:val="1456"/>
          <w:id w:val="-1331525173"/>
          <w:text w:multiLine="1"/>
        </w:sdtPr>
        <w:sdtEndPr/>
        <w:sdtContent>
          <w:r>
            <w:rPr>
              <w:rFonts w:ascii="Arial" w:hAnsi="Arial"/>
              <w:rtl/>
            </w:rPr>
            <w:t>28 מרץ 2023</w:t>
          </w:r>
        </w:sdtContent>
      </w:sdt>
      <w:r>
        <w:rPr>
          <w:rFonts w:ascii="Arial" w:hAnsi="Arial"/>
          <w:rtl/>
        </w:rPr>
        <w:t>, בהעדר הצדדים.</w:t>
      </w:r>
    </w:p>
    <w:p w:rsidR="0002177A" w:rsidRDefault="00375F47" w:rsidP="009C1537">
      <w:pPr>
        <w:tabs>
          <w:tab w:val="left" w:pos="2553"/>
        </w:tabs>
        <w:spacing w:line="360" w:lineRule="auto"/>
        <w:jc w:val="center"/>
        <w:rPr>
          <w:rtl/>
        </w:rPr>
      </w:pPr>
      <w:r>
        <w:rPr>
          <w:rFonts w:hint="cs"/>
          <w:rtl/>
        </w:rPr>
        <w:tab/>
      </w:r>
      <w:sdt>
        <w:sdtPr>
          <w:rPr>
            <w:rFonts w:hint="cs"/>
            <w:rtl/>
          </w:rPr>
          <w:alias w:val="2045"/>
          <w:tag w:val="2045"/>
          <w:id w:val="1701280785"/>
          <w:placeholder>
            <w:docPart w:val="647C5F5A17CE48D5BFFBFC7D0687C4D8"/>
          </w:placeholder>
          <w:showingPlcHdr/>
          <w:text w:multiLine="1"/>
        </w:sdtPr>
        <w:sdtEndPr/>
        <w:sdtContent>
          <w:r w:rsidR="009C1537">
            <w:rPr>
              <w:rStyle w:val="aa"/>
              <w:rFonts w:hint="cs"/>
              <w:rtl/>
            </w:rPr>
            <w:t xml:space="preserve">    </w:t>
          </w:r>
        </w:sdtContent>
      </w:sdt>
      <w:r w:rsidR="009C1537">
        <w:rPr>
          <w:rtl/>
        </w:rPr>
        <w:t xml:space="preserve"> </w:t>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290707780"/>
      </w:sdtPr>
      <w:sdtEndPr/>
      <w:sdtContent>
        <w:p w:rsidR="0011715E" w:rsidRDefault="00636C57">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p>
      </w:sdtContent>
    </w:sdt>
    <w:sectPr w:rsidR="0011715E" w:rsidSect="00E67EFF">
      <w:headerReference w:type="default" r:id="rId9"/>
      <w:footerReference w:type="even" r:id="rId10"/>
      <w:footerReference w:type="default" r:id="rId11"/>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8F1" w:rsidRDefault="002038F1">
      <w:r>
        <w:separator/>
      </w:r>
    </w:p>
  </w:endnote>
  <w:endnote w:type="continuationSeparator" w:id="0">
    <w:p w:rsidR="002038F1" w:rsidRDefault="0020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F8763D">
      <w:rPr>
        <w:noProof/>
        <w:rtl/>
      </w:rPr>
      <w:t>1</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F8763D">
      <w:rPr>
        <w:noProof/>
        <w:rtl/>
      </w:rPr>
      <w:t>7</w:t>
    </w:r>
    <w:r w:rsidR="00CE68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8F1" w:rsidRDefault="002038F1">
      <w:r>
        <w:separator/>
      </w:r>
    </w:p>
  </w:footnote>
  <w:footnote w:type="continuationSeparator" w:id="0">
    <w:p w:rsidR="002038F1" w:rsidRDefault="0020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75"/>
      <w:gridCol w:w="1024"/>
      <w:gridCol w:w="3508"/>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28 מרץ 2023</w:t>
              </w:r>
            </w:p>
          </w:tc>
        </w:sdtContent>
      </w:sdt>
    </w:tr>
    <w:tr w:rsidR="0002177A">
      <w:trPr>
        <w:trHeight w:val="337"/>
        <w:jc w:val="center"/>
      </w:trPr>
      <w:tc>
        <w:tcPr>
          <w:tcW w:w="8721" w:type="dxa"/>
          <w:gridSpan w:val="3"/>
        </w:tcPr>
        <w:p w:rsidR="0002177A" w:rsidRDefault="002038F1">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sdt>
            <w:sdtPr>
              <w:rPr>
                <w:rtl/>
              </w:rPr>
              <w:alias w:val="1171"/>
              <w:tag w:val="1171"/>
              <w:id w:val="739214549"/>
              <w:text w:multiLine="1"/>
            </w:sdtPr>
            <w:sdtEndPr/>
            <w:sdtContent>
              <w:r w:rsidR="00E67EFF">
                <w:rPr>
                  <w:b/>
                  <w:bCs/>
                  <w:sz w:val="26"/>
                  <w:szCs w:val="26"/>
                  <w:rtl/>
                </w:rPr>
                <w:t>36609-01-22</w:t>
              </w:r>
            </w:sdtContent>
          </w:sdt>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ברגרואין רזידנטיאל לימיטד נ' פקיד שומה גוש דן</w:t>
              </w:r>
            </w:sdtContent>
          </w:sdt>
        </w:p>
        <w:p w:rsidR="0002177A" w:rsidRDefault="0002177A">
          <w:pPr>
            <w:rPr>
              <w:rtl/>
            </w:rPr>
          </w:pPr>
        </w:p>
      </w:tc>
    </w:tr>
  </w:tbl>
  <w:p w:rsidR="0002177A" w:rsidRDefault="000217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45E5877"/>
    <w:multiLevelType w:val="multilevel"/>
    <w:tmpl w:val="0409001F"/>
    <w:lvl w:ilvl="0">
      <w:start w:val="1"/>
      <w:numFmt w:val="decimal"/>
      <w:lvlText w:val="%1."/>
      <w:lvlJc w:val="left"/>
      <w:pPr>
        <w:ind w:left="360" w:hanging="360"/>
      </w:pPr>
      <w:rPr>
        <w:b w:val="0"/>
        <w:bCs w:val="0"/>
        <w:sz w:val="26"/>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0257C9"/>
    <w:rsid w:val="00043A8B"/>
    <w:rsid w:val="000C1BDB"/>
    <w:rsid w:val="0011715E"/>
    <w:rsid w:val="00194E81"/>
    <w:rsid w:val="001A6445"/>
    <w:rsid w:val="001B655C"/>
    <w:rsid w:val="002038F1"/>
    <w:rsid w:val="002E56AF"/>
    <w:rsid w:val="002F2B2B"/>
    <w:rsid w:val="003045BC"/>
    <w:rsid w:val="00347822"/>
    <w:rsid w:val="00367817"/>
    <w:rsid w:val="00375F47"/>
    <w:rsid w:val="00394034"/>
    <w:rsid w:val="0040244A"/>
    <w:rsid w:val="00420E12"/>
    <w:rsid w:val="004C0005"/>
    <w:rsid w:val="004C74BF"/>
    <w:rsid w:val="005179AC"/>
    <w:rsid w:val="005C2A9A"/>
    <w:rsid w:val="005F5311"/>
    <w:rsid w:val="00636C57"/>
    <w:rsid w:val="00682B95"/>
    <w:rsid w:val="00694645"/>
    <w:rsid w:val="006A5FC7"/>
    <w:rsid w:val="006C0C79"/>
    <w:rsid w:val="006D74E3"/>
    <w:rsid w:val="006E4AD7"/>
    <w:rsid w:val="00703346"/>
    <w:rsid w:val="007C148B"/>
    <w:rsid w:val="00806356"/>
    <w:rsid w:val="0081116E"/>
    <w:rsid w:val="008168D9"/>
    <w:rsid w:val="008F1ABF"/>
    <w:rsid w:val="008F3A58"/>
    <w:rsid w:val="00962986"/>
    <w:rsid w:val="00964459"/>
    <w:rsid w:val="009A7E02"/>
    <w:rsid w:val="009B3B23"/>
    <w:rsid w:val="009C1537"/>
    <w:rsid w:val="009E0E27"/>
    <w:rsid w:val="009F2788"/>
    <w:rsid w:val="00A054F6"/>
    <w:rsid w:val="00A33606"/>
    <w:rsid w:val="00AC2303"/>
    <w:rsid w:val="00AC7E32"/>
    <w:rsid w:val="00B750DA"/>
    <w:rsid w:val="00BA470F"/>
    <w:rsid w:val="00BA65E6"/>
    <w:rsid w:val="00C13A12"/>
    <w:rsid w:val="00C64578"/>
    <w:rsid w:val="00C93CEB"/>
    <w:rsid w:val="00CE68C8"/>
    <w:rsid w:val="00D26926"/>
    <w:rsid w:val="00D87FAE"/>
    <w:rsid w:val="00DF03B1"/>
    <w:rsid w:val="00E444F8"/>
    <w:rsid w:val="00E64429"/>
    <w:rsid w:val="00E67EFF"/>
    <w:rsid w:val="00EC5735"/>
    <w:rsid w:val="00EF55C1"/>
    <w:rsid w:val="00F20A0D"/>
    <w:rsid w:val="00F62F92"/>
    <w:rsid w:val="00F658B2"/>
    <w:rsid w:val="00F8763D"/>
    <w:rsid w:val="00FF618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 w:type="paragraph" w:styleId="ab">
    <w:name w:val="List Paragraph"/>
    <w:basedOn w:val="a"/>
    <w:uiPriority w:val="34"/>
    <w:qFormat/>
    <w:rsid w:val="00962986"/>
    <w:pPr>
      <w:ind w:left="720"/>
      <w:contextualSpacing/>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7C5F5A17CE48D5BFFBFC7D0687C4D8"/>
        <w:category>
          <w:name w:val="כללי"/>
          <w:gallery w:val="placeholder"/>
        </w:category>
        <w:types>
          <w:type w:val="bbPlcHdr"/>
        </w:types>
        <w:behaviors>
          <w:behavior w:val="content"/>
        </w:behaviors>
        <w:guid w:val="{FD49B9D8-ABA6-45B6-AF0C-DE34E3603AA7}"/>
      </w:docPartPr>
      <w:docPartBody>
        <w:p w:rsidR="00200AFE" w:rsidRDefault="00D85A54" w:rsidP="00D85A54">
          <w:pPr>
            <w:pStyle w:val="647C5F5A17CE48D5BFFBFC7D0687C4D8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C5"/>
    <w:rsid w:val="00200AFE"/>
    <w:rsid w:val="005D5A23"/>
    <w:rsid w:val="007D5AC5"/>
    <w:rsid w:val="00D85A54"/>
    <w:rsid w:val="00EB31B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A54"/>
    <w:rPr>
      <w:color w:val="808080"/>
    </w:rPr>
  </w:style>
  <w:style w:type="paragraph" w:customStyle="1" w:styleId="647C5F5A17CE48D5BFFBFC7D0687C4D8">
    <w:name w:val="647C5F5A17CE48D5BFFBFC7D0687C4D8"/>
    <w:rsid w:val="005D5A23"/>
    <w:pPr>
      <w:bidi/>
      <w:spacing w:after="0" w:line="240" w:lineRule="auto"/>
    </w:pPr>
    <w:rPr>
      <w:rFonts w:ascii="Times New Roman" w:eastAsia="Times New Roman" w:hAnsi="Times New Roman" w:cs="David"/>
      <w:sz w:val="24"/>
      <w:szCs w:val="24"/>
    </w:rPr>
  </w:style>
  <w:style w:type="paragraph" w:customStyle="1" w:styleId="647C5F5A17CE48D5BFFBFC7D0687C4D81">
    <w:name w:val="647C5F5A17CE48D5BFFBFC7D0687C4D81"/>
    <w:rsid w:val="005D5A23"/>
    <w:pPr>
      <w:bidi/>
      <w:spacing w:after="0" w:line="240" w:lineRule="auto"/>
    </w:pPr>
    <w:rPr>
      <w:rFonts w:ascii="Times New Roman" w:eastAsia="Times New Roman" w:hAnsi="Times New Roman" w:cs="David"/>
      <w:sz w:val="24"/>
      <w:szCs w:val="24"/>
    </w:rPr>
  </w:style>
  <w:style w:type="paragraph" w:customStyle="1" w:styleId="647C5F5A17CE48D5BFFBFC7D0687C4D82">
    <w:name w:val="647C5F5A17CE48D5BFFBFC7D0687C4D82"/>
    <w:rsid w:val="00200AFE"/>
    <w:pPr>
      <w:bidi/>
      <w:spacing w:after="0" w:line="240" w:lineRule="auto"/>
    </w:pPr>
    <w:rPr>
      <w:rFonts w:ascii="Times New Roman" w:eastAsia="Times New Roman" w:hAnsi="Times New Roman" w:cs="David"/>
      <w:sz w:val="24"/>
      <w:szCs w:val="24"/>
    </w:rPr>
  </w:style>
  <w:style w:type="paragraph" w:customStyle="1" w:styleId="647C5F5A17CE48D5BFFBFC7D0687C4D83">
    <w:name w:val="647C5F5A17CE48D5BFFBFC7D0687C4D83"/>
    <w:rsid w:val="00D85A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1562</Words>
  <Characters>7815</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2023-04-16T08:01:00Z</dcterms:created>
  <dcterms:modified xsi:type="dcterms:W3CDTF">2023-04-16T08:01:00Z</dcterms:modified>
</cp:coreProperties>
</file>